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77B8" w14:textId="77777777" w:rsidR="00F400D6" w:rsidRPr="0057396C" w:rsidRDefault="00F400D6" w:rsidP="007B44B6">
      <w:pPr>
        <w:autoSpaceDE w:val="0"/>
        <w:autoSpaceDN w:val="0"/>
        <w:adjustRightInd w:val="0"/>
        <w:spacing w:after="120" w:line="360" w:lineRule="auto"/>
        <w:outlineLvl w:val="0"/>
        <w:rPr>
          <w:rFonts w:ascii="Garamond" w:eastAsia="MS Mincho" w:hAnsi="Garamond" w:cs="Arial"/>
          <w:lang w:eastAsia="ja-JP"/>
        </w:rPr>
      </w:pPr>
    </w:p>
    <w:p w14:paraId="59B08AB7" w14:textId="195CC44D" w:rsidR="0057396C" w:rsidRDefault="006438B3" w:rsidP="0057396C">
      <w:pPr>
        <w:spacing w:after="0" w:line="240" w:lineRule="auto"/>
        <w:ind w:left="567" w:hanging="567"/>
        <w:jc w:val="center"/>
        <w:rPr>
          <w:rFonts w:ascii="Arial" w:eastAsia="MS Mincho" w:hAnsi="Arial" w:cs="Arial"/>
          <w:bCs/>
          <w:sz w:val="24"/>
          <w:szCs w:val="24"/>
          <w:lang w:eastAsia="ja-JP"/>
        </w:rPr>
      </w:pPr>
      <w:r w:rsidRPr="006438B3">
        <w:rPr>
          <w:rFonts w:ascii="Arial" w:eastAsia="MS Mincho" w:hAnsi="Arial" w:cs="Arial"/>
          <w:bCs/>
          <w:sz w:val="24"/>
          <w:szCs w:val="24"/>
          <w:lang w:eastAsia="ja-JP"/>
        </w:rPr>
        <w:t>Description of Workforce Preparedness for Fire Management at Dinoyo Health Center</w:t>
      </w:r>
    </w:p>
    <w:p w14:paraId="31303BAC" w14:textId="77777777" w:rsidR="006438B3" w:rsidRPr="0057396C" w:rsidRDefault="006438B3" w:rsidP="0057396C">
      <w:pPr>
        <w:spacing w:after="0" w:line="240" w:lineRule="auto"/>
        <w:ind w:left="567" w:hanging="567"/>
        <w:jc w:val="center"/>
        <w:rPr>
          <w:rFonts w:ascii="Arial" w:eastAsia="MS Mincho" w:hAnsi="Arial" w:cs="Arial"/>
          <w:bCs/>
          <w:sz w:val="24"/>
          <w:szCs w:val="24"/>
          <w:lang w:eastAsia="ja-JP"/>
        </w:rPr>
      </w:pPr>
    </w:p>
    <w:p w14:paraId="2B7479C3" w14:textId="15E52EF5" w:rsidR="0057396C" w:rsidRDefault="006438B3" w:rsidP="0057396C">
      <w:pPr>
        <w:spacing w:after="0" w:line="240" w:lineRule="auto"/>
        <w:ind w:left="567" w:hanging="567"/>
        <w:jc w:val="center"/>
        <w:rPr>
          <w:rFonts w:ascii="Garamond" w:eastAsia="MS Mincho" w:hAnsi="Garamond" w:cs="Arial"/>
          <w:b/>
          <w:lang w:eastAsia="ja-JP"/>
        </w:rPr>
      </w:pPr>
      <w:r w:rsidRPr="006438B3">
        <w:rPr>
          <w:rFonts w:ascii="Garamond" w:eastAsia="MS Mincho" w:hAnsi="Garamond" w:cs="Arial"/>
          <w:b/>
          <w:lang w:eastAsia="ja-JP"/>
        </w:rPr>
        <w:t>Zanuba Syifa' Qotrunnada</w:t>
      </w:r>
      <w:r w:rsidRPr="006438B3">
        <w:rPr>
          <w:rFonts w:ascii="Garamond" w:eastAsia="MS Mincho" w:hAnsi="Garamond" w:cs="Arial"/>
          <w:b/>
          <w:vertAlign w:val="superscript"/>
          <w:lang w:eastAsia="ja-JP"/>
        </w:rPr>
        <w:t>1</w:t>
      </w:r>
      <w:r w:rsidRPr="006438B3">
        <w:rPr>
          <w:rFonts w:ascii="Garamond" w:eastAsia="MS Mincho" w:hAnsi="Garamond" w:cs="Arial"/>
          <w:b/>
          <w:lang w:eastAsia="ja-JP"/>
        </w:rPr>
        <w:t>, Fresvian Jenrivo</w:t>
      </w:r>
      <w:r w:rsidRPr="006438B3">
        <w:rPr>
          <w:rFonts w:ascii="Garamond" w:eastAsia="MS Mincho" w:hAnsi="Garamond" w:cs="Arial"/>
          <w:b/>
          <w:vertAlign w:val="superscript"/>
          <w:lang w:eastAsia="ja-JP"/>
        </w:rPr>
        <w:t>2</w:t>
      </w:r>
      <w:r w:rsidRPr="006438B3">
        <w:rPr>
          <w:rFonts w:ascii="Garamond" w:eastAsia="MS Mincho" w:hAnsi="Garamond" w:cs="Arial"/>
          <w:b/>
          <w:lang w:eastAsia="ja-JP"/>
        </w:rPr>
        <w:t>, Ani Asriani Basri</w:t>
      </w:r>
      <w:r w:rsidRPr="006438B3">
        <w:rPr>
          <w:rFonts w:ascii="Garamond" w:eastAsia="MS Mincho" w:hAnsi="Garamond" w:cs="Arial"/>
          <w:b/>
          <w:vertAlign w:val="superscript"/>
          <w:lang w:eastAsia="ja-JP"/>
        </w:rPr>
        <w:t>3</w:t>
      </w:r>
      <w:r w:rsidRPr="006438B3">
        <w:rPr>
          <w:rFonts w:ascii="Garamond" w:eastAsia="MS Mincho" w:hAnsi="Garamond" w:cs="Arial"/>
          <w:b/>
          <w:lang w:eastAsia="ja-JP"/>
        </w:rPr>
        <w:t>, Fariz Zuvil Arganata</w:t>
      </w:r>
      <w:r w:rsidRPr="006438B3">
        <w:rPr>
          <w:rFonts w:ascii="Garamond" w:eastAsia="MS Mincho" w:hAnsi="Garamond" w:cs="Arial"/>
          <w:b/>
          <w:vertAlign w:val="superscript"/>
          <w:lang w:eastAsia="ja-JP"/>
        </w:rPr>
        <w:t>4</w:t>
      </w:r>
    </w:p>
    <w:p w14:paraId="1C456045" w14:textId="77777777" w:rsidR="006438B3" w:rsidRPr="0057396C" w:rsidRDefault="006438B3" w:rsidP="0057396C">
      <w:pPr>
        <w:spacing w:after="0" w:line="240" w:lineRule="auto"/>
        <w:ind w:left="567" w:hanging="567"/>
        <w:jc w:val="center"/>
        <w:rPr>
          <w:rFonts w:ascii="Garamond" w:eastAsia="MS Mincho" w:hAnsi="Garamond" w:cs="Arial"/>
          <w:b/>
          <w:lang w:eastAsia="ja-JP"/>
        </w:rPr>
      </w:pPr>
    </w:p>
    <w:p w14:paraId="752093B7" w14:textId="14472521" w:rsidR="006438B3" w:rsidRPr="006438B3" w:rsidRDefault="006438B3" w:rsidP="006438B3">
      <w:pPr>
        <w:spacing w:after="0" w:line="240" w:lineRule="auto"/>
        <w:ind w:left="567" w:hanging="567"/>
        <w:jc w:val="center"/>
        <w:rPr>
          <w:rFonts w:ascii="Garamond" w:eastAsia="MS Mincho" w:hAnsi="Garamond" w:cs="Arial"/>
          <w:b/>
          <w:lang w:eastAsia="ja-JP"/>
        </w:rPr>
      </w:pPr>
      <w:r w:rsidRPr="006438B3">
        <w:rPr>
          <w:rFonts w:ascii="Garamond" w:eastAsia="MS Mincho" w:hAnsi="Garamond" w:cs="Arial"/>
          <w:b/>
          <w:vertAlign w:val="superscript"/>
          <w:lang w:eastAsia="ja-JP"/>
        </w:rPr>
        <w:t>1</w:t>
      </w:r>
      <w:r w:rsidRPr="006438B3">
        <w:rPr>
          <w:rFonts w:ascii="Garamond" w:eastAsia="MS Mincho" w:hAnsi="Garamond" w:cs="Arial"/>
          <w:b/>
          <w:lang w:eastAsia="ja-JP"/>
        </w:rPr>
        <w:t xml:space="preserve">Occupational Safety and Health Study Program,  Health Polytechnic of the Ministry of Health Malang </w:t>
      </w:r>
    </w:p>
    <w:p w14:paraId="7E01FCF7" w14:textId="7DCFCB4A" w:rsidR="00D91BC7" w:rsidRPr="006438B3" w:rsidRDefault="006438B3" w:rsidP="006438B3">
      <w:pPr>
        <w:spacing w:after="0" w:line="240" w:lineRule="auto"/>
        <w:ind w:left="567" w:hanging="567"/>
        <w:jc w:val="center"/>
        <w:rPr>
          <w:rFonts w:ascii="Garamond" w:eastAsia="MS Mincho" w:hAnsi="Garamond" w:cs="Arial"/>
          <w:b/>
          <w:lang w:eastAsia="ja-JP"/>
        </w:rPr>
      </w:pPr>
      <w:r w:rsidRPr="006438B3">
        <w:rPr>
          <w:rFonts w:ascii="Garamond" w:eastAsia="MS Mincho" w:hAnsi="Garamond" w:cs="Arial"/>
          <w:b/>
          <w:lang w:eastAsia="ja-JP"/>
        </w:rPr>
        <w:t>Jl. Besar Ijen No. 77C, Malang City, East Java 405017, Tel. (0341) 566075</w:t>
      </w:r>
    </w:p>
    <w:p w14:paraId="290F8078" w14:textId="77777777" w:rsidR="006438B3" w:rsidRDefault="006438B3" w:rsidP="006438B3">
      <w:pPr>
        <w:spacing w:after="0" w:line="240" w:lineRule="auto"/>
        <w:ind w:left="567" w:hanging="567"/>
        <w:jc w:val="center"/>
        <w:rPr>
          <w:rFonts w:ascii="Garamond" w:eastAsia="MS Mincho" w:hAnsi="Garamond" w:cs="Arial"/>
          <w:bCs/>
          <w:lang w:eastAsia="ja-JP"/>
        </w:rPr>
      </w:pPr>
    </w:p>
    <w:p w14:paraId="7B240516" w14:textId="2D6E545A" w:rsidR="0057396C" w:rsidRDefault="0057396C" w:rsidP="0057396C">
      <w:pPr>
        <w:spacing w:after="0" w:line="240" w:lineRule="auto"/>
        <w:ind w:left="567" w:hanging="567"/>
        <w:jc w:val="center"/>
        <w:rPr>
          <w:rFonts w:ascii="Garamond" w:eastAsia="MS Mincho" w:hAnsi="Garamond" w:cs="Arial"/>
          <w:b/>
          <w:lang w:eastAsia="ja-JP"/>
        </w:rPr>
      </w:pPr>
      <w:r w:rsidRPr="0057396C">
        <w:rPr>
          <w:rFonts w:ascii="Garamond" w:eastAsia="MS Mincho" w:hAnsi="Garamond" w:cs="Arial"/>
          <w:b/>
          <w:lang w:eastAsia="ja-JP"/>
        </w:rPr>
        <w:t xml:space="preserve">Corresponding Author : </w:t>
      </w:r>
      <w:r w:rsidR="006438B3" w:rsidRPr="006438B3">
        <w:rPr>
          <w:rFonts w:ascii="Garamond" w:eastAsia="MS Mincho" w:hAnsi="Garamond" w:cs="Arial"/>
          <w:b/>
          <w:lang w:eastAsia="ja-JP"/>
        </w:rPr>
        <w:t>Zanuba Syifa' Qotrunnada</w:t>
      </w:r>
    </w:p>
    <w:p w14:paraId="632197DD" w14:textId="77777777" w:rsidR="00D91BC7" w:rsidRPr="0057396C" w:rsidRDefault="00D91BC7" w:rsidP="0057396C">
      <w:pPr>
        <w:spacing w:after="0" w:line="240" w:lineRule="auto"/>
        <w:ind w:left="567" w:hanging="567"/>
        <w:jc w:val="center"/>
        <w:rPr>
          <w:rFonts w:ascii="Garamond" w:eastAsia="MS Mincho" w:hAnsi="Garamond" w:cs="Arial"/>
          <w:b/>
          <w:lang w:eastAsia="ja-JP"/>
        </w:rPr>
      </w:pPr>
    </w:p>
    <w:p w14:paraId="046E441F" w14:textId="7730E95C" w:rsidR="0057396C" w:rsidRPr="0057396C" w:rsidRDefault="0057396C" w:rsidP="0057396C">
      <w:pPr>
        <w:spacing w:after="0" w:line="240" w:lineRule="auto"/>
        <w:ind w:left="567" w:hanging="567"/>
        <w:jc w:val="center"/>
        <w:rPr>
          <w:rFonts w:ascii="Garamond" w:eastAsia="MS Mincho" w:hAnsi="Garamond" w:cs="Arial"/>
          <w:b/>
          <w:lang w:eastAsia="ja-JP"/>
        </w:rPr>
      </w:pPr>
      <w:r w:rsidRPr="0057396C">
        <w:rPr>
          <w:rFonts w:ascii="Garamond" w:eastAsia="MS Mincho" w:hAnsi="Garamond" w:cs="Arial"/>
          <w:b/>
          <w:lang w:eastAsia="ja-JP"/>
        </w:rPr>
        <w:t xml:space="preserve">Email: </w:t>
      </w:r>
      <w:hyperlink r:id="rId8" w:history="1">
        <w:r w:rsidR="006438B3" w:rsidRPr="006438B3">
          <w:rPr>
            <w:rStyle w:val="Hyperlink"/>
            <w:rFonts w:ascii="Garamond" w:hAnsi="Garamond"/>
            <w:b/>
            <w:bCs/>
          </w:rPr>
          <w:t>zanuba_p17451204011@poltekkes-malang.ac.id</w:t>
        </w:r>
      </w:hyperlink>
    </w:p>
    <w:p w14:paraId="5D213A42" w14:textId="77777777" w:rsidR="0057396C" w:rsidRDefault="0057396C" w:rsidP="0057396C">
      <w:pPr>
        <w:spacing w:after="0" w:line="240" w:lineRule="auto"/>
        <w:ind w:left="567" w:hanging="567"/>
        <w:jc w:val="center"/>
        <w:rPr>
          <w:rFonts w:ascii="Garamond" w:eastAsia="MS Mincho" w:hAnsi="Garamond" w:cs="Arial"/>
          <w:bCs/>
          <w:lang w:eastAsia="ja-JP"/>
        </w:rPr>
      </w:pPr>
    </w:p>
    <w:p w14:paraId="614F2FB4" w14:textId="2C58D139" w:rsidR="00BF4B9B" w:rsidRPr="00B01EF4" w:rsidRDefault="00BF4B9B" w:rsidP="00BF4B9B">
      <w:pPr>
        <w:spacing w:before="25"/>
        <w:ind w:right="-1"/>
        <w:jc w:val="center"/>
        <w:rPr>
          <w:rFonts w:ascii="Garamond" w:hAnsi="Garamond"/>
          <w:color w:val="000000" w:themeColor="text1"/>
          <w:sz w:val="20"/>
          <w:szCs w:val="20"/>
        </w:rPr>
      </w:pPr>
      <w:r>
        <w:rPr>
          <w:rFonts w:ascii="Garamond" w:hAnsi="Garamond"/>
          <w:color w:val="000000" w:themeColor="text1"/>
          <w:sz w:val="20"/>
          <w:szCs w:val="20"/>
        </w:rPr>
        <w:t>Receive</w:t>
      </w:r>
      <w:r w:rsidRPr="00B01EF4">
        <w:rPr>
          <w:rFonts w:ascii="Garamond" w:hAnsi="Garamond"/>
          <w:color w:val="000000" w:themeColor="text1"/>
          <w:sz w:val="20"/>
          <w:szCs w:val="20"/>
        </w:rPr>
        <w:t xml:space="preserve"> : </w:t>
      </w:r>
      <w:r w:rsidR="00F12C92">
        <w:rPr>
          <w:rFonts w:ascii="Garamond" w:hAnsi="Garamond"/>
          <w:color w:val="000000" w:themeColor="text1"/>
          <w:sz w:val="20"/>
          <w:szCs w:val="20"/>
        </w:rPr>
        <w:t>April</w:t>
      </w:r>
      <w:r w:rsidRPr="00B01EF4">
        <w:rPr>
          <w:rFonts w:ascii="Garamond" w:hAnsi="Garamond"/>
          <w:color w:val="000000" w:themeColor="text1"/>
          <w:sz w:val="20"/>
          <w:szCs w:val="20"/>
        </w:rPr>
        <w:t xml:space="preserve"> </w:t>
      </w:r>
      <w:r w:rsidR="00F12C92">
        <w:rPr>
          <w:rFonts w:ascii="Garamond" w:hAnsi="Garamond"/>
          <w:color w:val="000000" w:themeColor="text1"/>
          <w:sz w:val="20"/>
          <w:szCs w:val="20"/>
        </w:rPr>
        <w:t>29</w:t>
      </w:r>
      <w:r>
        <w:rPr>
          <w:rFonts w:ascii="Garamond" w:hAnsi="Garamond"/>
          <w:color w:val="000000" w:themeColor="text1"/>
          <w:sz w:val="20"/>
          <w:szCs w:val="20"/>
        </w:rPr>
        <w:t xml:space="preserve"> </w:t>
      </w:r>
      <w:r w:rsidRPr="00B01EF4">
        <w:rPr>
          <w:rFonts w:ascii="Garamond" w:hAnsi="Garamond"/>
          <w:color w:val="000000" w:themeColor="text1"/>
          <w:position w:val="6"/>
          <w:sz w:val="20"/>
          <w:szCs w:val="20"/>
        </w:rPr>
        <w:t>th</w:t>
      </w:r>
      <w:r w:rsidRPr="00B01EF4">
        <w:rPr>
          <w:rFonts w:ascii="Garamond" w:hAnsi="Garamond"/>
          <w:color w:val="000000" w:themeColor="text1"/>
          <w:sz w:val="20"/>
          <w:szCs w:val="20"/>
        </w:rPr>
        <w:t>20</w:t>
      </w:r>
      <w:r>
        <w:rPr>
          <w:rFonts w:ascii="Garamond" w:hAnsi="Garamond"/>
          <w:color w:val="000000" w:themeColor="text1"/>
          <w:sz w:val="20"/>
          <w:szCs w:val="20"/>
        </w:rPr>
        <w:t>24</w:t>
      </w:r>
      <w:r w:rsidRPr="00B01EF4">
        <w:rPr>
          <w:rFonts w:ascii="Garamond" w:hAnsi="Garamond"/>
          <w:color w:val="000000" w:themeColor="text1"/>
          <w:sz w:val="20"/>
          <w:szCs w:val="20"/>
        </w:rPr>
        <w:t xml:space="preserve">. Revised : </w:t>
      </w:r>
      <w:r w:rsidR="00F12C92">
        <w:rPr>
          <w:rFonts w:ascii="Garamond" w:hAnsi="Garamond"/>
          <w:color w:val="000000" w:themeColor="text1"/>
          <w:sz w:val="20"/>
          <w:szCs w:val="20"/>
        </w:rPr>
        <w:t>July</w:t>
      </w:r>
      <w:r w:rsidRPr="00B01EF4">
        <w:rPr>
          <w:rFonts w:ascii="Garamond" w:hAnsi="Garamond"/>
          <w:color w:val="000000" w:themeColor="text1"/>
          <w:sz w:val="20"/>
          <w:szCs w:val="20"/>
        </w:rPr>
        <w:t xml:space="preserve"> </w:t>
      </w:r>
      <w:r w:rsidR="00F12C92">
        <w:rPr>
          <w:rFonts w:ascii="Garamond" w:hAnsi="Garamond"/>
          <w:color w:val="000000" w:themeColor="text1"/>
          <w:sz w:val="20"/>
          <w:szCs w:val="20"/>
        </w:rPr>
        <w:t>03</w:t>
      </w:r>
      <w:r w:rsidRPr="00B01EF4">
        <w:rPr>
          <w:rFonts w:ascii="Garamond" w:hAnsi="Garamond"/>
          <w:color w:val="000000" w:themeColor="text1"/>
          <w:position w:val="6"/>
          <w:sz w:val="20"/>
          <w:szCs w:val="20"/>
        </w:rPr>
        <w:t>th</w:t>
      </w:r>
      <w:r w:rsidRPr="00B01EF4">
        <w:rPr>
          <w:rFonts w:ascii="Garamond" w:hAnsi="Garamond"/>
          <w:color w:val="000000" w:themeColor="text1"/>
          <w:sz w:val="20"/>
          <w:szCs w:val="20"/>
        </w:rPr>
        <w:t>20</w:t>
      </w:r>
      <w:r>
        <w:rPr>
          <w:rFonts w:ascii="Garamond" w:hAnsi="Garamond"/>
          <w:color w:val="000000" w:themeColor="text1"/>
          <w:sz w:val="20"/>
          <w:szCs w:val="20"/>
        </w:rPr>
        <w:t>24</w:t>
      </w:r>
      <w:r w:rsidRPr="00B01EF4">
        <w:rPr>
          <w:rFonts w:ascii="Garamond" w:hAnsi="Garamond"/>
          <w:color w:val="000000" w:themeColor="text1"/>
          <w:sz w:val="20"/>
          <w:szCs w:val="20"/>
        </w:rPr>
        <w:t xml:space="preserve">. Published: </w:t>
      </w:r>
      <w:r>
        <w:rPr>
          <w:rFonts w:ascii="Garamond" w:hAnsi="Garamond"/>
          <w:color w:val="000000" w:themeColor="text1"/>
          <w:sz w:val="20"/>
          <w:szCs w:val="20"/>
        </w:rPr>
        <w:t>July</w:t>
      </w:r>
      <w:r w:rsidRPr="00B01EF4">
        <w:rPr>
          <w:rFonts w:ascii="Garamond" w:hAnsi="Garamond"/>
          <w:color w:val="000000" w:themeColor="text1"/>
          <w:sz w:val="20"/>
          <w:szCs w:val="20"/>
        </w:rPr>
        <w:t xml:space="preserve"> </w:t>
      </w:r>
      <w:r>
        <w:rPr>
          <w:rFonts w:ascii="Garamond" w:hAnsi="Garamond"/>
          <w:color w:val="000000" w:themeColor="text1"/>
          <w:sz w:val="20"/>
          <w:szCs w:val="20"/>
        </w:rPr>
        <w:t>1</w:t>
      </w:r>
      <w:r w:rsidR="00F12C92">
        <w:rPr>
          <w:rFonts w:ascii="Garamond" w:hAnsi="Garamond"/>
          <w:color w:val="000000" w:themeColor="text1"/>
          <w:sz w:val="20"/>
          <w:szCs w:val="20"/>
        </w:rPr>
        <w:t>5</w:t>
      </w:r>
      <w:r w:rsidRPr="00B01EF4">
        <w:rPr>
          <w:rFonts w:ascii="Garamond" w:hAnsi="Garamond"/>
          <w:color w:val="000000" w:themeColor="text1"/>
          <w:position w:val="6"/>
          <w:sz w:val="20"/>
          <w:szCs w:val="20"/>
        </w:rPr>
        <w:t>th</w:t>
      </w:r>
      <w:r w:rsidRPr="00B01EF4">
        <w:rPr>
          <w:rFonts w:ascii="Garamond" w:hAnsi="Garamond"/>
          <w:color w:val="000000" w:themeColor="text1"/>
          <w:sz w:val="20"/>
          <w:szCs w:val="20"/>
        </w:rPr>
        <w:t>20</w:t>
      </w:r>
      <w:r>
        <w:rPr>
          <w:rFonts w:ascii="Garamond" w:hAnsi="Garamond"/>
          <w:color w:val="000000" w:themeColor="text1"/>
          <w:sz w:val="20"/>
          <w:szCs w:val="20"/>
        </w:rPr>
        <w:t>24</w:t>
      </w:r>
    </w:p>
    <w:p w14:paraId="35E60879" w14:textId="6D1CEC4A" w:rsidR="00BF4B9B" w:rsidRPr="00F12C92" w:rsidRDefault="00BF4B9B" w:rsidP="00BF4B9B">
      <w:pPr>
        <w:shd w:val="clear" w:color="auto" w:fill="FFFFFF"/>
        <w:spacing w:after="0" w:line="240" w:lineRule="auto"/>
        <w:jc w:val="center"/>
        <w:rPr>
          <w:rStyle w:val="Strong"/>
          <w:rFonts w:ascii="Garamond" w:hAnsi="Garamond" w:cs="Arial"/>
          <w:b w:val="0"/>
          <w:bCs w:val="0"/>
          <w:sz w:val="20"/>
          <w:szCs w:val="20"/>
        </w:rPr>
      </w:pPr>
      <w:r w:rsidRPr="00F12C92">
        <w:rPr>
          <w:rStyle w:val="Strong"/>
          <w:rFonts w:ascii="Garamond" w:hAnsi="Garamond" w:cs="Arial"/>
          <w:sz w:val="20"/>
          <w:szCs w:val="20"/>
        </w:rPr>
        <w:t>DOI :</w:t>
      </w:r>
      <w:r w:rsidRPr="00F12C92">
        <w:rPr>
          <w:rStyle w:val="Strong"/>
          <w:rFonts w:ascii="Garamond" w:hAnsi="Garamond" w:cs="Arial"/>
          <w:b w:val="0"/>
          <w:bCs w:val="0"/>
          <w:sz w:val="20"/>
          <w:szCs w:val="20"/>
        </w:rPr>
        <w:t xml:space="preserve"> </w:t>
      </w:r>
      <w:hyperlink r:id="rId9" w:history="1">
        <w:r w:rsidR="00F12C92" w:rsidRPr="00F12C92">
          <w:rPr>
            <w:rStyle w:val="Hyperlink"/>
            <w:rFonts w:ascii="Garamond" w:hAnsi="Garamond"/>
            <w:b/>
            <w:bCs/>
            <w:sz w:val="20"/>
            <w:szCs w:val="20"/>
          </w:rPr>
          <w:t>https://doi.org/10.22219/sm.Vol20.SMUMM1.33302</w:t>
        </w:r>
      </w:hyperlink>
    </w:p>
    <w:p w14:paraId="5E93A5DE" w14:textId="77777777" w:rsidR="00BF4B9B" w:rsidRDefault="00BF4B9B" w:rsidP="0057396C">
      <w:pPr>
        <w:spacing w:after="0" w:line="240" w:lineRule="auto"/>
        <w:ind w:left="567" w:hanging="567"/>
        <w:jc w:val="center"/>
        <w:rPr>
          <w:rFonts w:ascii="Garamond" w:eastAsia="MS Mincho" w:hAnsi="Garamond" w:cs="Arial"/>
          <w:bCs/>
          <w:lang w:eastAsia="ja-JP"/>
        </w:rPr>
      </w:pPr>
    </w:p>
    <w:p w14:paraId="1537FBBB" w14:textId="0468D6F0" w:rsidR="0057396C" w:rsidRPr="0057396C" w:rsidRDefault="0057396C" w:rsidP="0057396C">
      <w:pPr>
        <w:spacing w:after="120" w:line="360" w:lineRule="auto"/>
        <w:jc w:val="center"/>
        <w:rPr>
          <w:rFonts w:ascii="Arial" w:eastAsia="MS Mincho" w:hAnsi="Arial" w:cs="Arial"/>
          <w:b/>
          <w:lang w:eastAsia="ja-JP"/>
        </w:rPr>
      </w:pPr>
      <w:r w:rsidRPr="0057396C">
        <w:rPr>
          <w:rFonts w:ascii="Arial" w:eastAsia="MS Mincho" w:hAnsi="Arial" w:cs="Arial"/>
          <w:b/>
          <w:lang w:eastAsia="ja-JP"/>
        </w:rPr>
        <w:t>A</w:t>
      </w:r>
      <w:r>
        <w:rPr>
          <w:rFonts w:ascii="Arial" w:eastAsia="MS Mincho" w:hAnsi="Arial" w:cs="Arial"/>
          <w:b/>
          <w:lang w:eastAsia="ja-JP"/>
        </w:rPr>
        <w:t>BSTRACT</w:t>
      </w:r>
    </w:p>
    <w:p w14:paraId="3513880A" w14:textId="77777777" w:rsidR="006438B3" w:rsidRPr="006438B3" w:rsidRDefault="006438B3" w:rsidP="006438B3">
      <w:pPr>
        <w:spacing w:after="120" w:line="240" w:lineRule="auto"/>
        <w:jc w:val="both"/>
        <w:rPr>
          <w:rFonts w:ascii="Garamond" w:eastAsia="MS Mincho" w:hAnsi="Garamond" w:cs="Arial"/>
          <w:bCs/>
          <w:sz w:val="20"/>
          <w:szCs w:val="20"/>
          <w:lang w:eastAsia="ja-JP"/>
        </w:rPr>
      </w:pPr>
      <w:r w:rsidRPr="006438B3">
        <w:rPr>
          <w:rFonts w:ascii="Garamond" w:eastAsia="MS Mincho" w:hAnsi="Garamond" w:cs="Arial"/>
          <w:bCs/>
          <w:sz w:val="20"/>
          <w:szCs w:val="20"/>
          <w:lang w:eastAsia="ja-JP"/>
        </w:rPr>
        <w:t xml:space="preserve">Background: Dinoyo Community Health Center is a health facility in Malang City that must implement fire safety. There have been 4 incidents in 2020 and 8 incidents in 2021 where fire occurred at community health centers. Preparedness is carried out as an effort to deal with fires from a human perspective. Research objective: To determine workforce preparedness for fire management at the Dinoyo Community Health Center. Research type: descriptive quantitative with a population of 55 people using saturation sampling techniques. There are 2 preparedness parameters in this research variable, namely knowledge and attitudes. Results: The preparedness of the workforce is "ready" category for fire management with an index value of 76.10. The level of knowledge scored 66.23 is "ready" category and attitude scored 85.98 is "very ready" category. Conclusion: The attitude value is higher than the knowledge value. This is because attitudes are not only influenced by knowledge, but also influenced by personal experience, the influence of other people, and emotional influence. The workforce has received fire management training and simulations. The interview results show that the workforce understands information related to emergencies. Suggestion: Workers should increase their knowledge through print media or the internet. </w:t>
      </w:r>
    </w:p>
    <w:p w14:paraId="55D63B8C" w14:textId="4956C6DE" w:rsidR="00DD74B3" w:rsidRPr="0057396C" w:rsidRDefault="006438B3" w:rsidP="006438B3">
      <w:pPr>
        <w:spacing w:after="120" w:line="240" w:lineRule="auto"/>
        <w:ind w:left="567" w:hanging="567"/>
        <w:jc w:val="both"/>
        <w:rPr>
          <w:rFonts w:ascii="Garamond" w:eastAsia="MS Mincho" w:hAnsi="Garamond" w:cs="Arial"/>
          <w:bCs/>
          <w:sz w:val="20"/>
          <w:szCs w:val="20"/>
          <w:lang w:eastAsia="ja-JP"/>
        </w:rPr>
      </w:pPr>
      <w:r w:rsidRPr="006438B3">
        <w:rPr>
          <w:rFonts w:ascii="Garamond" w:eastAsia="MS Mincho" w:hAnsi="Garamond" w:cs="Arial"/>
          <w:b/>
          <w:sz w:val="20"/>
          <w:szCs w:val="20"/>
          <w:lang w:eastAsia="ja-JP"/>
        </w:rPr>
        <w:t>Keywords</w:t>
      </w:r>
      <w:r w:rsidRPr="006438B3">
        <w:rPr>
          <w:rFonts w:ascii="Garamond" w:eastAsia="MS Mincho" w:hAnsi="Garamond" w:cs="Arial"/>
          <w:bCs/>
          <w:sz w:val="20"/>
          <w:szCs w:val="20"/>
          <w:lang w:eastAsia="ja-JP"/>
        </w:rPr>
        <w:t>: Community Health Center, Fire, Preparedness.</w:t>
      </w:r>
    </w:p>
    <w:p w14:paraId="4E83D77F" w14:textId="77777777" w:rsidR="00626BE6" w:rsidRDefault="00DD74B3" w:rsidP="00DD74B3">
      <w:pPr>
        <w:spacing w:after="0" w:line="220" w:lineRule="exact"/>
        <w:jc w:val="center"/>
        <w:rPr>
          <w:rFonts w:ascii="Calisto MT" w:eastAsia="Calisto MT" w:hAnsi="Calisto MT" w:cs="Calisto MT"/>
          <w:color w:val="000000" w:themeColor="text1"/>
          <w:sz w:val="18"/>
          <w:szCs w:val="18"/>
        </w:rPr>
      </w:pPr>
      <w:r>
        <w:rPr>
          <w:rFonts w:ascii="Calisto MT" w:eastAsia="Calisto MT" w:hAnsi="Calisto MT" w:cs="Calisto MT"/>
          <w:color w:val="000000" w:themeColor="text1"/>
          <w:sz w:val="18"/>
          <w:szCs w:val="18"/>
        </w:rPr>
        <w:t xml:space="preserve">                                                                                                                </w:t>
      </w:r>
    </w:p>
    <w:p w14:paraId="6CD72721" w14:textId="67D5C8D6" w:rsidR="00DD74B3" w:rsidRPr="00B01EF4" w:rsidRDefault="00626BE6" w:rsidP="00626BE6">
      <w:pPr>
        <w:spacing w:after="0" w:line="220" w:lineRule="exact"/>
        <w:ind w:firstLine="567"/>
        <w:jc w:val="center"/>
        <w:rPr>
          <w:rFonts w:ascii="Garamond" w:eastAsia="Calisto MT" w:hAnsi="Garamond" w:cs="Calisto MT"/>
          <w:color w:val="000000" w:themeColor="text1"/>
          <w:sz w:val="16"/>
          <w:szCs w:val="16"/>
        </w:rPr>
      </w:pPr>
      <w:r>
        <w:rPr>
          <w:rFonts w:ascii="Calisto MT" w:eastAsia="Calisto MT" w:hAnsi="Calisto MT" w:cs="Calisto MT"/>
          <w:color w:val="000000" w:themeColor="text1"/>
          <w:sz w:val="18"/>
          <w:szCs w:val="18"/>
        </w:rPr>
        <w:t>`</w:t>
      </w:r>
      <w:r>
        <w:rPr>
          <w:rFonts w:ascii="Calisto MT" w:eastAsia="Calisto MT" w:hAnsi="Calisto MT" w:cs="Calisto MT"/>
          <w:color w:val="000000" w:themeColor="text1"/>
          <w:sz w:val="18"/>
          <w:szCs w:val="18"/>
        </w:rPr>
        <w:tab/>
      </w:r>
      <w:r>
        <w:rPr>
          <w:rFonts w:ascii="Calisto MT" w:eastAsia="Calisto MT" w:hAnsi="Calisto MT" w:cs="Calisto MT"/>
          <w:color w:val="000000" w:themeColor="text1"/>
          <w:sz w:val="18"/>
          <w:szCs w:val="18"/>
        </w:rPr>
        <w:tab/>
      </w:r>
      <w:r>
        <w:rPr>
          <w:rFonts w:ascii="Calisto MT" w:eastAsia="Calisto MT" w:hAnsi="Calisto MT" w:cs="Calisto MT"/>
          <w:color w:val="000000" w:themeColor="text1"/>
          <w:sz w:val="18"/>
          <w:szCs w:val="18"/>
        </w:rPr>
        <w:tab/>
      </w:r>
      <w:r>
        <w:rPr>
          <w:rFonts w:ascii="Calisto MT" w:eastAsia="Calisto MT" w:hAnsi="Calisto MT" w:cs="Calisto MT"/>
          <w:color w:val="000000" w:themeColor="text1"/>
          <w:sz w:val="18"/>
          <w:szCs w:val="18"/>
        </w:rPr>
        <w:tab/>
      </w:r>
      <w:r>
        <w:rPr>
          <w:rFonts w:ascii="Calisto MT" w:eastAsia="Calisto MT" w:hAnsi="Calisto MT" w:cs="Calisto MT"/>
          <w:color w:val="000000" w:themeColor="text1"/>
          <w:sz w:val="18"/>
          <w:szCs w:val="18"/>
        </w:rPr>
        <w:tab/>
      </w:r>
      <w:r>
        <w:rPr>
          <w:rFonts w:ascii="Calisto MT" w:eastAsia="Calisto MT" w:hAnsi="Calisto MT" w:cs="Calisto MT"/>
          <w:color w:val="000000" w:themeColor="text1"/>
          <w:sz w:val="18"/>
          <w:szCs w:val="18"/>
        </w:rPr>
        <w:tab/>
      </w:r>
      <w:r>
        <w:rPr>
          <w:rFonts w:ascii="Calisto MT" w:eastAsia="Calisto MT" w:hAnsi="Calisto MT" w:cs="Calisto MT"/>
          <w:color w:val="000000" w:themeColor="text1"/>
          <w:sz w:val="18"/>
          <w:szCs w:val="18"/>
        </w:rPr>
        <w:tab/>
      </w:r>
      <w:r w:rsidR="00DD74B3">
        <w:rPr>
          <w:rFonts w:ascii="Calisto MT" w:eastAsia="Calisto MT" w:hAnsi="Calisto MT" w:cs="Calisto MT"/>
          <w:color w:val="000000" w:themeColor="text1"/>
          <w:sz w:val="18"/>
          <w:szCs w:val="18"/>
        </w:rPr>
        <w:t xml:space="preserve">     </w:t>
      </w:r>
      <w:r w:rsidR="00DD74B3" w:rsidRPr="00B01EF4">
        <w:rPr>
          <w:rFonts w:ascii="Garamond" w:eastAsia="Calisto MT" w:hAnsi="Garamond" w:cs="Calisto MT"/>
          <w:color w:val="000000" w:themeColor="text1"/>
          <w:sz w:val="16"/>
          <w:szCs w:val="16"/>
        </w:rPr>
        <w:t>Copyright © 20</w:t>
      </w:r>
      <w:r w:rsidR="00DD74B3">
        <w:rPr>
          <w:rFonts w:ascii="Garamond" w:eastAsia="Calisto MT" w:hAnsi="Garamond" w:cs="Calisto MT"/>
          <w:color w:val="000000" w:themeColor="text1"/>
          <w:sz w:val="16"/>
          <w:szCs w:val="16"/>
          <w:lang w:val="en-US"/>
        </w:rPr>
        <w:t>24</w:t>
      </w:r>
      <w:r w:rsidR="00DD74B3" w:rsidRPr="00B01EF4">
        <w:rPr>
          <w:rFonts w:ascii="Garamond" w:eastAsia="Calisto MT" w:hAnsi="Garamond" w:cs="Calisto MT"/>
          <w:color w:val="000000" w:themeColor="text1"/>
          <w:sz w:val="16"/>
          <w:szCs w:val="16"/>
        </w:rPr>
        <w:t xml:space="preserve">, </w:t>
      </w:r>
      <w:r w:rsidRPr="00626BE6">
        <w:rPr>
          <w:rFonts w:ascii="Garamond" w:eastAsia="Calisto MT" w:hAnsi="Garamond" w:cs="Calisto MT"/>
          <w:color w:val="000000" w:themeColor="text1"/>
          <w:sz w:val="16"/>
          <w:szCs w:val="16"/>
        </w:rPr>
        <w:t>Zanuba Syifa' Qotrunnada</w:t>
      </w:r>
      <w:r w:rsidR="00DD74B3">
        <w:rPr>
          <w:rFonts w:ascii="Garamond" w:eastAsia="Calisto MT" w:hAnsi="Garamond" w:cs="Calisto MT"/>
          <w:color w:val="000000" w:themeColor="text1"/>
          <w:sz w:val="16"/>
          <w:szCs w:val="16"/>
        </w:rPr>
        <w:t xml:space="preserve"> </w:t>
      </w:r>
      <w:r w:rsidR="00DD74B3" w:rsidRPr="00B01EF4">
        <w:rPr>
          <w:rFonts w:ascii="Garamond" w:eastAsia="Calisto MT" w:hAnsi="Garamond" w:cs="Calisto MT"/>
          <w:color w:val="000000" w:themeColor="text1"/>
          <w:sz w:val="16"/>
          <w:szCs w:val="16"/>
        </w:rPr>
        <w:t xml:space="preserve">et al </w:t>
      </w:r>
    </w:p>
    <w:p w14:paraId="1505170D" w14:textId="77777777" w:rsidR="00DD74B3" w:rsidRPr="00B01EF4" w:rsidRDefault="00DD74B3" w:rsidP="00DD74B3">
      <w:pPr>
        <w:spacing w:after="0" w:line="220" w:lineRule="exact"/>
        <w:jc w:val="center"/>
        <w:rPr>
          <w:rFonts w:ascii="Garamond" w:eastAsia="Calisto MT" w:hAnsi="Garamond" w:cs="Calisto MT"/>
          <w:color w:val="000000" w:themeColor="text1"/>
          <w:sz w:val="16"/>
          <w:szCs w:val="16"/>
        </w:rPr>
      </w:pPr>
      <w:r w:rsidRPr="00B01EF4">
        <w:rPr>
          <w:rFonts w:ascii="Garamond" w:eastAsia="Calisto MT" w:hAnsi="Garamond" w:cs="Calisto MT"/>
          <w:color w:val="000000" w:themeColor="text1"/>
          <w:sz w:val="16"/>
          <w:szCs w:val="16"/>
        </w:rPr>
        <w:t xml:space="preserve">                                                                                                             </w:t>
      </w:r>
      <w:r>
        <w:rPr>
          <w:rFonts w:ascii="Garamond" w:eastAsia="Calisto MT" w:hAnsi="Garamond" w:cs="Calisto MT"/>
          <w:color w:val="000000" w:themeColor="text1"/>
          <w:sz w:val="16"/>
          <w:szCs w:val="16"/>
        </w:rPr>
        <w:t xml:space="preserve">           </w:t>
      </w:r>
      <w:r w:rsidRPr="00B01EF4">
        <w:rPr>
          <w:rFonts w:ascii="Garamond" w:eastAsia="Calisto MT" w:hAnsi="Garamond" w:cs="Calisto MT"/>
          <w:color w:val="000000" w:themeColor="text1"/>
          <w:sz w:val="16"/>
          <w:szCs w:val="16"/>
        </w:rPr>
        <w:t>This is an open access article under the CC–BY-SA license</w:t>
      </w:r>
    </w:p>
    <w:p w14:paraId="7B040485" w14:textId="77777777" w:rsidR="0057396C" w:rsidRDefault="0057396C" w:rsidP="0057396C">
      <w:pPr>
        <w:spacing w:after="120" w:line="360" w:lineRule="auto"/>
        <w:ind w:left="567" w:hanging="567"/>
        <w:jc w:val="both"/>
        <w:rPr>
          <w:rFonts w:ascii="Garamond" w:eastAsia="MS Mincho" w:hAnsi="Garamond" w:cs="Arial"/>
          <w:bCs/>
          <w:lang w:eastAsia="ja-JP"/>
        </w:rPr>
      </w:pPr>
    </w:p>
    <w:p w14:paraId="5F7073A4" w14:textId="642E631E" w:rsidR="0057396C" w:rsidRPr="0057396C" w:rsidRDefault="0057396C" w:rsidP="0057396C">
      <w:pPr>
        <w:spacing w:after="120" w:line="360" w:lineRule="auto"/>
        <w:ind w:left="567" w:hanging="567"/>
        <w:jc w:val="both"/>
        <w:rPr>
          <w:rFonts w:ascii="Arial" w:eastAsia="MS Mincho" w:hAnsi="Arial" w:cs="Arial"/>
          <w:b/>
          <w:lang w:eastAsia="ja-JP"/>
        </w:rPr>
      </w:pPr>
      <w:r w:rsidRPr="0057396C">
        <w:rPr>
          <w:rFonts w:ascii="Arial" w:eastAsia="MS Mincho" w:hAnsi="Arial" w:cs="Arial"/>
          <w:b/>
          <w:lang w:eastAsia="ja-JP"/>
        </w:rPr>
        <w:t>INTRODUCTION</w:t>
      </w:r>
    </w:p>
    <w:p w14:paraId="53A37F24" w14:textId="77777777" w:rsidR="00555BEA" w:rsidRDefault="00555BEA" w:rsidP="00F12C92">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Disasters are not only about natural events but also non-natural events, and are the result of humans themselves. This is caused by gaps, carelessness, and also accidentally. Indonesia also cannot avoid disasters including fires. Fire is the condition of a building such as housing, industry, supermarkets, or other buildings catching fire, resulting in casualties and other losses. Various factors cause fires such as intentional or unintentional behavior (USFA, 2015).</w:t>
      </w:r>
    </w:p>
    <w:p w14:paraId="425167C3" w14:textId="77777777" w:rsidR="00555BEA" w:rsidRDefault="00555BEA" w:rsidP="00F12C92">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Several countries in the world are vulnerable to disasters, one of which is Indonesia. Indonesia has experienced serious disaster problems since the Aceh earthquake and tsunami in 2004. The frequency of disasters has increased from 2018 to 2021, so disaster management is needed by all </w:t>
      </w:r>
      <w:r>
        <w:rPr>
          <w:rFonts w:ascii="Garamond" w:eastAsia="Garamond" w:hAnsi="Garamond" w:cs="Garamond"/>
          <w:color w:val="000000"/>
        </w:rPr>
        <w:lastRenderedPageBreak/>
        <w:t>parties. Every individual also needs to be prepared to face and overcome disasters. The slow response to disasters is a problem that needs to be overcome.</w:t>
      </w:r>
    </w:p>
    <w:p w14:paraId="48067BF5" w14:textId="77777777" w:rsidR="00555BEA" w:rsidRDefault="00555BEA" w:rsidP="00F12C92">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A fire incident occurred at Sejong Hospital, South Korea on January 26 2018. The fire killed 41 people and dozens of others were injured. Fire incidents also occurred from 2018 to August 2022 totaling 8,004 fire incidents in the Indonesian capital. This report comes from the DKI Jakarta Fire and Safety Management Service.</w:t>
      </w:r>
    </w:p>
    <w:p w14:paraId="3BCE30DC" w14:textId="77777777" w:rsidR="00555BEA" w:rsidRDefault="00555BEA" w:rsidP="00555BEA">
      <w:pPr>
        <w:keepNext/>
        <w:pBdr>
          <w:top w:val="nil"/>
          <w:left w:val="nil"/>
          <w:bottom w:val="nil"/>
          <w:right w:val="nil"/>
          <w:between w:val="nil"/>
        </w:pBdr>
        <w:spacing w:line="240" w:lineRule="auto"/>
        <w:rPr>
          <w:rFonts w:ascii="Garamond" w:eastAsia="Garamond" w:hAnsi="Garamond" w:cs="Garamond"/>
          <w:color w:val="000000"/>
        </w:rPr>
      </w:pPr>
      <w:r w:rsidRPr="00555BEA">
        <w:rPr>
          <w:rFonts w:ascii="Garamond" w:eastAsia="Garamond" w:hAnsi="Garamond" w:cs="Garamond"/>
          <w:b/>
          <w:bCs/>
          <w:color w:val="000000"/>
        </w:rPr>
        <w:t>Table 1</w:t>
      </w:r>
      <w:r>
        <w:rPr>
          <w:rFonts w:ascii="Garamond" w:eastAsia="Garamond" w:hAnsi="Garamond" w:cs="Garamond"/>
          <w:color w:val="000000"/>
        </w:rPr>
        <w:t>. Number of Community Health Center Fire Incidents.</w:t>
      </w:r>
    </w:p>
    <w:tbl>
      <w:tblPr>
        <w:tblStyle w:val="PlainTable2"/>
        <w:tblW w:w="850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60"/>
        <w:gridCol w:w="2835"/>
        <w:gridCol w:w="4109"/>
      </w:tblGrid>
      <w:tr w:rsidR="00555BEA" w:rsidRPr="00555BEA" w14:paraId="68C0F41C" w14:textId="77777777" w:rsidTr="00FC1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tcPr>
          <w:p w14:paraId="70352D01" w14:textId="77777777" w:rsidR="00555BEA" w:rsidRPr="00555BEA" w:rsidRDefault="00555BEA" w:rsidP="00555BEA">
            <w:pPr>
              <w:spacing w:after="120" w:line="360" w:lineRule="auto"/>
              <w:jc w:val="center"/>
              <w:rPr>
                <w:rFonts w:ascii="Garamond" w:eastAsia="Garamond" w:hAnsi="Garamond" w:cs="Garamond"/>
                <w:b w:val="0"/>
                <w:bCs w:val="0"/>
              </w:rPr>
            </w:pPr>
            <w:r w:rsidRPr="00555BEA">
              <w:rPr>
                <w:rFonts w:ascii="Garamond" w:eastAsia="Garamond" w:hAnsi="Garamond" w:cs="Garamond"/>
                <w:b w:val="0"/>
                <w:bCs w:val="0"/>
              </w:rPr>
              <w:t>No</w:t>
            </w:r>
          </w:p>
        </w:tc>
        <w:tc>
          <w:tcPr>
            <w:tcW w:w="2835" w:type="dxa"/>
            <w:tcBorders>
              <w:bottom w:val="none" w:sz="0" w:space="0" w:color="auto"/>
            </w:tcBorders>
          </w:tcPr>
          <w:p w14:paraId="430C6B56" w14:textId="77777777" w:rsidR="00555BEA" w:rsidRPr="00555BEA" w:rsidRDefault="00555BEA" w:rsidP="00555BEA">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rPr>
            </w:pPr>
            <w:r w:rsidRPr="00555BEA">
              <w:rPr>
                <w:rFonts w:ascii="Garamond" w:eastAsia="Garamond" w:hAnsi="Garamond" w:cs="Garamond"/>
                <w:b w:val="0"/>
                <w:bCs w:val="0"/>
              </w:rPr>
              <w:t>Year</w:t>
            </w:r>
          </w:p>
        </w:tc>
        <w:tc>
          <w:tcPr>
            <w:tcW w:w="4109" w:type="dxa"/>
            <w:tcBorders>
              <w:bottom w:val="none" w:sz="0" w:space="0" w:color="auto"/>
            </w:tcBorders>
          </w:tcPr>
          <w:p w14:paraId="4E7E9257" w14:textId="77777777" w:rsidR="00555BEA" w:rsidRPr="00555BEA" w:rsidRDefault="00555BEA" w:rsidP="00555BEA">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bCs w:val="0"/>
              </w:rPr>
            </w:pPr>
            <w:r w:rsidRPr="00555BEA">
              <w:rPr>
                <w:rFonts w:ascii="Garamond" w:eastAsia="Garamond" w:hAnsi="Garamond" w:cs="Garamond"/>
                <w:b w:val="0"/>
                <w:bCs w:val="0"/>
              </w:rPr>
              <w:t>Number of Fire Incidents</w:t>
            </w:r>
          </w:p>
        </w:tc>
      </w:tr>
      <w:tr w:rsidR="00555BEA" w:rsidRPr="00555BEA" w14:paraId="2A89E69C"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4D61D493" w14:textId="77777777" w:rsidR="00555BEA" w:rsidRPr="00555BEA" w:rsidRDefault="00555BEA" w:rsidP="00555BEA">
            <w:pPr>
              <w:numPr>
                <w:ilvl w:val="0"/>
                <w:numId w:val="6"/>
              </w:numPr>
              <w:spacing w:after="120" w:line="360" w:lineRule="auto"/>
              <w:jc w:val="center"/>
              <w:rPr>
                <w:rFonts w:ascii="Garamond" w:eastAsia="Garamond" w:hAnsi="Garamond" w:cs="Garamond"/>
                <w:b w:val="0"/>
                <w:bCs w:val="0"/>
              </w:rPr>
            </w:pPr>
          </w:p>
        </w:tc>
        <w:tc>
          <w:tcPr>
            <w:tcW w:w="2835" w:type="dxa"/>
            <w:tcBorders>
              <w:top w:val="none" w:sz="0" w:space="0" w:color="auto"/>
              <w:bottom w:val="none" w:sz="0" w:space="0" w:color="auto"/>
            </w:tcBorders>
          </w:tcPr>
          <w:p w14:paraId="3D24F5A7" w14:textId="77777777" w:rsidR="00555BEA" w:rsidRPr="00555BEA" w:rsidRDefault="00555BEA" w:rsidP="00555BEA">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2018</w:t>
            </w:r>
          </w:p>
        </w:tc>
        <w:tc>
          <w:tcPr>
            <w:tcW w:w="4109" w:type="dxa"/>
            <w:tcBorders>
              <w:top w:val="none" w:sz="0" w:space="0" w:color="auto"/>
              <w:bottom w:val="none" w:sz="0" w:space="0" w:color="auto"/>
            </w:tcBorders>
          </w:tcPr>
          <w:p w14:paraId="4DF0D0DF" w14:textId="77777777" w:rsidR="00555BEA" w:rsidRPr="00555BEA" w:rsidRDefault="00555BEA" w:rsidP="00555BEA">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1.751</w:t>
            </w:r>
          </w:p>
        </w:tc>
      </w:tr>
      <w:tr w:rsidR="00555BEA" w:rsidRPr="00555BEA" w14:paraId="6AA62D20" w14:textId="77777777" w:rsidTr="00FC1696">
        <w:tc>
          <w:tcPr>
            <w:cnfStyle w:val="001000000000" w:firstRow="0" w:lastRow="0" w:firstColumn="1" w:lastColumn="0" w:oddVBand="0" w:evenVBand="0" w:oddHBand="0" w:evenHBand="0" w:firstRowFirstColumn="0" w:firstRowLastColumn="0" w:lastRowFirstColumn="0" w:lastRowLastColumn="0"/>
            <w:tcW w:w="1560" w:type="dxa"/>
          </w:tcPr>
          <w:p w14:paraId="0760C238" w14:textId="77777777" w:rsidR="00555BEA" w:rsidRPr="00555BEA" w:rsidRDefault="00555BEA" w:rsidP="00555BEA">
            <w:pPr>
              <w:numPr>
                <w:ilvl w:val="0"/>
                <w:numId w:val="6"/>
              </w:numPr>
              <w:spacing w:after="120" w:line="360" w:lineRule="auto"/>
              <w:jc w:val="center"/>
              <w:rPr>
                <w:rFonts w:ascii="Garamond" w:eastAsia="Garamond" w:hAnsi="Garamond" w:cs="Garamond"/>
                <w:b w:val="0"/>
                <w:bCs w:val="0"/>
              </w:rPr>
            </w:pPr>
          </w:p>
        </w:tc>
        <w:tc>
          <w:tcPr>
            <w:tcW w:w="2835" w:type="dxa"/>
          </w:tcPr>
          <w:p w14:paraId="2607A621" w14:textId="77777777" w:rsidR="00555BEA" w:rsidRPr="00555BEA" w:rsidRDefault="00555BEA" w:rsidP="00555BEA">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2019</w:t>
            </w:r>
          </w:p>
        </w:tc>
        <w:tc>
          <w:tcPr>
            <w:tcW w:w="4109" w:type="dxa"/>
          </w:tcPr>
          <w:p w14:paraId="0E7CF3EB" w14:textId="77777777" w:rsidR="00555BEA" w:rsidRPr="00555BEA" w:rsidRDefault="00555BEA" w:rsidP="00555BEA">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2.161</w:t>
            </w:r>
          </w:p>
        </w:tc>
      </w:tr>
      <w:tr w:rsidR="00555BEA" w:rsidRPr="00555BEA" w14:paraId="6E1C4F9C"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041E0BA8" w14:textId="77777777" w:rsidR="00555BEA" w:rsidRPr="00555BEA" w:rsidRDefault="00555BEA" w:rsidP="00555BEA">
            <w:pPr>
              <w:numPr>
                <w:ilvl w:val="0"/>
                <w:numId w:val="6"/>
              </w:numPr>
              <w:spacing w:after="120" w:line="360" w:lineRule="auto"/>
              <w:jc w:val="center"/>
              <w:rPr>
                <w:rFonts w:ascii="Garamond" w:eastAsia="Garamond" w:hAnsi="Garamond" w:cs="Garamond"/>
                <w:b w:val="0"/>
                <w:bCs w:val="0"/>
              </w:rPr>
            </w:pPr>
          </w:p>
        </w:tc>
        <w:tc>
          <w:tcPr>
            <w:tcW w:w="2835" w:type="dxa"/>
            <w:tcBorders>
              <w:top w:val="none" w:sz="0" w:space="0" w:color="auto"/>
              <w:bottom w:val="none" w:sz="0" w:space="0" w:color="auto"/>
            </w:tcBorders>
          </w:tcPr>
          <w:p w14:paraId="0FB1D625" w14:textId="77777777" w:rsidR="00555BEA" w:rsidRPr="00555BEA" w:rsidRDefault="00555BEA" w:rsidP="00555BEA">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2020</w:t>
            </w:r>
          </w:p>
        </w:tc>
        <w:tc>
          <w:tcPr>
            <w:tcW w:w="4109" w:type="dxa"/>
            <w:tcBorders>
              <w:top w:val="none" w:sz="0" w:space="0" w:color="auto"/>
              <w:bottom w:val="none" w:sz="0" w:space="0" w:color="auto"/>
            </w:tcBorders>
          </w:tcPr>
          <w:p w14:paraId="34710011" w14:textId="77777777" w:rsidR="00555BEA" w:rsidRPr="00555BEA" w:rsidRDefault="00555BEA" w:rsidP="00555BEA">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1.501</w:t>
            </w:r>
          </w:p>
        </w:tc>
      </w:tr>
      <w:tr w:rsidR="00555BEA" w:rsidRPr="00555BEA" w14:paraId="457A1286" w14:textId="77777777" w:rsidTr="00FC1696">
        <w:tc>
          <w:tcPr>
            <w:cnfStyle w:val="001000000000" w:firstRow="0" w:lastRow="0" w:firstColumn="1" w:lastColumn="0" w:oddVBand="0" w:evenVBand="0" w:oddHBand="0" w:evenHBand="0" w:firstRowFirstColumn="0" w:firstRowLastColumn="0" w:lastRowFirstColumn="0" w:lastRowLastColumn="0"/>
            <w:tcW w:w="1560" w:type="dxa"/>
          </w:tcPr>
          <w:p w14:paraId="4F26FFCB" w14:textId="77777777" w:rsidR="00555BEA" w:rsidRPr="00555BEA" w:rsidRDefault="00555BEA" w:rsidP="00555BEA">
            <w:pPr>
              <w:numPr>
                <w:ilvl w:val="0"/>
                <w:numId w:val="6"/>
              </w:numPr>
              <w:spacing w:after="120" w:line="360" w:lineRule="auto"/>
              <w:jc w:val="center"/>
              <w:rPr>
                <w:rFonts w:ascii="Garamond" w:eastAsia="Garamond" w:hAnsi="Garamond" w:cs="Garamond"/>
                <w:b w:val="0"/>
                <w:bCs w:val="0"/>
              </w:rPr>
            </w:pPr>
          </w:p>
        </w:tc>
        <w:tc>
          <w:tcPr>
            <w:tcW w:w="2835" w:type="dxa"/>
          </w:tcPr>
          <w:p w14:paraId="262FECC8" w14:textId="77777777" w:rsidR="00555BEA" w:rsidRPr="00555BEA" w:rsidRDefault="00555BEA" w:rsidP="00555BEA">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2021</w:t>
            </w:r>
          </w:p>
        </w:tc>
        <w:tc>
          <w:tcPr>
            <w:tcW w:w="4109" w:type="dxa"/>
          </w:tcPr>
          <w:p w14:paraId="179B8CED" w14:textId="77777777" w:rsidR="00555BEA" w:rsidRPr="00555BEA" w:rsidRDefault="00555BEA" w:rsidP="00555BEA">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1.532</w:t>
            </w:r>
          </w:p>
        </w:tc>
      </w:tr>
      <w:tr w:rsidR="00555BEA" w:rsidRPr="00555BEA" w14:paraId="1DF5877E"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772581E2" w14:textId="77777777" w:rsidR="00555BEA" w:rsidRPr="00555BEA" w:rsidRDefault="00555BEA" w:rsidP="00555BEA">
            <w:pPr>
              <w:numPr>
                <w:ilvl w:val="0"/>
                <w:numId w:val="6"/>
              </w:numPr>
              <w:spacing w:after="120" w:line="360" w:lineRule="auto"/>
              <w:jc w:val="center"/>
              <w:rPr>
                <w:rFonts w:ascii="Garamond" w:eastAsia="Garamond" w:hAnsi="Garamond" w:cs="Garamond"/>
                <w:b w:val="0"/>
                <w:bCs w:val="0"/>
              </w:rPr>
            </w:pPr>
          </w:p>
        </w:tc>
        <w:tc>
          <w:tcPr>
            <w:tcW w:w="2835" w:type="dxa"/>
            <w:tcBorders>
              <w:top w:val="none" w:sz="0" w:space="0" w:color="auto"/>
              <w:bottom w:val="none" w:sz="0" w:space="0" w:color="auto"/>
            </w:tcBorders>
          </w:tcPr>
          <w:p w14:paraId="74F4A7D2" w14:textId="77777777" w:rsidR="00555BEA" w:rsidRPr="00555BEA" w:rsidRDefault="00555BEA" w:rsidP="00555BEA">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2022</w:t>
            </w:r>
          </w:p>
        </w:tc>
        <w:tc>
          <w:tcPr>
            <w:tcW w:w="4109" w:type="dxa"/>
            <w:tcBorders>
              <w:top w:val="none" w:sz="0" w:space="0" w:color="auto"/>
              <w:bottom w:val="none" w:sz="0" w:space="0" w:color="auto"/>
            </w:tcBorders>
          </w:tcPr>
          <w:p w14:paraId="68D712B5" w14:textId="77777777" w:rsidR="00555BEA" w:rsidRPr="00555BEA" w:rsidRDefault="00555BEA" w:rsidP="00555BEA">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1.059</w:t>
            </w:r>
          </w:p>
        </w:tc>
      </w:tr>
      <w:tr w:rsidR="00555BEA" w:rsidRPr="00555BEA" w14:paraId="7C8FD82F" w14:textId="77777777" w:rsidTr="00FC1696">
        <w:tc>
          <w:tcPr>
            <w:cnfStyle w:val="001000000000" w:firstRow="0" w:lastRow="0" w:firstColumn="1" w:lastColumn="0" w:oddVBand="0" w:evenVBand="0" w:oddHBand="0" w:evenHBand="0" w:firstRowFirstColumn="0" w:firstRowLastColumn="0" w:lastRowFirstColumn="0" w:lastRowLastColumn="0"/>
            <w:tcW w:w="4395" w:type="dxa"/>
            <w:gridSpan w:val="2"/>
          </w:tcPr>
          <w:p w14:paraId="6F5BA92A" w14:textId="77777777" w:rsidR="00555BEA" w:rsidRPr="00555BEA" w:rsidRDefault="00555BEA" w:rsidP="00555BEA">
            <w:pPr>
              <w:spacing w:after="120" w:line="360" w:lineRule="auto"/>
              <w:jc w:val="center"/>
              <w:rPr>
                <w:rFonts w:ascii="Garamond" w:eastAsia="Garamond" w:hAnsi="Garamond" w:cs="Garamond"/>
                <w:b w:val="0"/>
                <w:bCs w:val="0"/>
              </w:rPr>
            </w:pPr>
            <w:r w:rsidRPr="00555BEA">
              <w:rPr>
                <w:rFonts w:ascii="Garamond" w:eastAsia="Garamond" w:hAnsi="Garamond" w:cs="Garamond"/>
                <w:b w:val="0"/>
                <w:bCs w:val="0"/>
              </w:rPr>
              <w:t>Total</w:t>
            </w:r>
          </w:p>
        </w:tc>
        <w:tc>
          <w:tcPr>
            <w:tcW w:w="4109" w:type="dxa"/>
          </w:tcPr>
          <w:p w14:paraId="2A759989" w14:textId="77777777" w:rsidR="00555BEA" w:rsidRPr="00555BEA" w:rsidRDefault="00555BEA" w:rsidP="00555BEA">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rPr>
            </w:pPr>
            <w:r w:rsidRPr="00555BEA">
              <w:rPr>
                <w:rFonts w:ascii="Garamond" w:eastAsia="Garamond" w:hAnsi="Garamond" w:cs="Garamond"/>
              </w:rPr>
              <w:t>8.004</w:t>
            </w:r>
          </w:p>
        </w:tc>
      </w:tr>
    </w:tbl>
    <w:p w14:paraId="2C8E25BF" w14:textId="77777777" w:rsidR="00555BEA" w:rsidRDefault="00555BEA" w:rsidP="00F12C92">
      <w:pPr>
        <w:spacing w:after="0" w:line="360" w:lineRule="auto"/>
        <w:ind w:firstLine="567"/>
        <w:jc w:val="both"/>
        <w:rPr>
          <w:rFonts w:ascii="Garamond" w:eastAsia="Garamond" w:hAnsi="Garamond" w:cs="Garamond"/>
          <w:color w:val="000000"/>
        </w:rPr>
      </w:pPr>
    </w:p>
    <w:p w14:paraId="356584DA" w14:textId="3D2E1952"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Indonesia experienced several fire incidents amounting to 62.8% caused by electrical short circuits, poor spatial layout and minimal infrastructure for handling fire incidents. Inaccurate layout of the electrical lines can have an impact on all components around it. </w:t>
      </w:r>
    </w:p>
    <w:p w14:paraId="12A669C1" w14:textId="77777777"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The Malang City Fire and Rescue Department reported that in 2021 there were 66 fire incidents. 40.9% of the causes of fires came from electrical short circuits. There has been an increase of 10.81% in 2022 to 74 fire incidents, which are still predominantly caused by electrical short circuits. </w:t>
      </w:r>
    </w:p>
    <w:p w14:paraId="1533BA54" w14:textId="77777777" w:rsidR="00555BEA" w:rsidRDefault="00555BEA" w:rsidP="00F12C92">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Health center fires have increased in the last 3 years. It was recorded that fires had occurred in Indonesia at 4 community health centers in 2020 and increased in 2021 to 8 incidents and 8 incidents in 2022. One of them occurred at the UPTD of Blooto Community Health Center, Mojokerto on October 16 2023. This incident caused 1 person to run out of oxygen. due to thick smoke and was rushed to hospital. The fire came from a pile of used goods in the used warehouse area on the ground floor of the Blooto Community Health Center and from the cleaning service room. </w:t>
      </w:r>
    </w:p>
    <w:p w14:paraId="7C7FD83E" w14:textId="77777777" w:rsidR="00555BEA" w:rsidRDefault="00555BEA" w:rsidP="00F12C92">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Regulation of fire protection equipment in work areas and requiring managers or operators to prevent, mitigate and extinguish fires as well as carry out fire extinguishing training in the workplace (Decree of the Minister of Manpower of the Republic of Indonesia Number 186 of 1999).  Fire prevention is part of work safety.  Implementing a fire management system includes a series of actions </w:t>
      </w:r>
      <w:r>
        <w:rPr>
          <w:rFonts w:ascii="Garamond" w:eastAsia="Garamond" w:hAnsi="Garamond" w:cs="Garamond"/>
          <w:color w:val="000000"/>
        </w:rPr>
        <w:lastRenderedPageBreak/>
        <w:t>such as formulating fire risk development policies, disaster prevention measures, emergency response and recovery.</w:t>
      </w:r>
    </w:p>
    <w:p w14:paraId="4F97B769" w14:textId="77777777"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Fires in health centers can occur due to explosive and/or flammable chemicals, pressurized gas cylinders, and electronic devices. Based on the activities at the health center, fire prevention is needed. Fire anticipation is carried out through a series of structured activities and appropriate and effective procedures.</w:t>
      </w:r>
    </w:p>
    <w:p w14:paraId="0A641EC6" w14:textId="77777777"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One of the K3 standards for health service facilities is workforce preparedness in dealing with emergency conditions including fires (RI Minister of Health Regulation Number 52 of 2018). Workers at health facilities are required to be prepared if a fire occurs. However, the facts on the ground say otherwise. Many human resources in health facilities, especially community health centers, only understand how to deal with them without taking action. </w:t>
      </w:r>
    </w:p>
    <w:p w14:paraId="3DFD4D6C" w14:textId="77777777"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Previous research was conducted by Cahyani, Yulia Fegy (2020) by analyzing the level of community preparedness for residential fire disasters. Community unpreparedness in dealing with fire incidents is caused by inhibiting factors such as a lack of public knowledge about physical and economic dangers. The external factor is the lack of training and disaster preparedness simulations. Therefore, preparation is very important.</w:t>
      </w:r>
    </w:p>
    <w:p w14:paraId="39900A9E" w14:textId="77777777"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Based on the literature study that has been carried out, the novelty value (</w:t>
      </w:r>
      <w:r>
        <w:rPr>
          <w:rFonts w:ascii="Garamond" w:eastAsia="Garamond" w:hAnsi="Garamond" w:cs="Garamond"/>
          <w:i/>
          <w:color w:val="000000"/>
        </w:rPr>
        <w:t>novelty</w:t>
      </w:r>
      <w:r>
        <w:rPr>
          <w:rFonts w:ascii="Garamond" w:eastAsia="Garamond" w:hAnsi="Garamond" w:cs="Garamond"/>
          <w:color w:val="000000"/>
        </w:rPr>
        <w:t xml:space="preserve">) namely that there is no research related to workforce preparedness for fire management at the Dinoyo Community Health Center. The variables used are based on 5 preparedness parameters, namely knowledge and attitudes, policies and guidelines, emergency response plans, early warning systems, and resource mobilization. In this study, researchers used knowledge and attitude parameters because this research focuses on aspects of human resources. </w:t>
      </w:r>
    </w:p>
    <w:p w14:paraId="65F415D4" w14:textId="77777777"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The results of observations carried out at the Dinoyo Community Health Center, found that tools or means for countermeasures were carried out by placing fire extinguishers on the floor and access was blocked and the location of safety signs was blocked. Other facilities such as evacuation routes and gathering points are available, but simulations need to be carried out so that officers know what to do during an emergency, especially a fire. Apart from that, the absence of technical guidelines can affect the control of emergency conditions. So it is necessary to re-assess workforce preparedness.</w:t>
      </w:r>
    </w:p>
    <w:p w14:paraId="5FF65C53" w14:textId="77777777" w:rsidR="00555BEA" w:rsidRDefault="00555BEA" w:rsidP="00555BEA">
      <w:pPr>
        <w:spacing w:after="120" w:line="360" w:lineRule="auto"/>
        <w:ind w:firstLine="567"/>
        <w:jc w:val="both"/>
        <w:rPr>
          <w:rFonts w:ascii="Garamond" w:eastAsia="Garamond" w:hAnsi="Garamond" w:cs="Garamond"/>
          <w:color w:val="000000"/>
        </w:rPr>
      </w:pPr>
      <w:r>
        <w:rPr>
          <w:rFonts w:ascii="Garamond" w:eastAsia="Garamond" w:hAnsi="Garamond" w:cs="Garamond"/>
          <w:color w:val="000000"/>
        </w:rPr>
        <w:t>Based on the problems above, this research focuses on knowledge and attitudes regarding workforce preparedness in handling fires at the Dinoyo Community Health Center. Based on the problems obtained, the aim of this research is to determine the preparedness of the workforce in dealing with fires at the Dinoyo health center.</w:t>
      </w:r>
    </w:p>
    <w:p w14:paraId="2C0E3088" w14:textId="68C88013" w:rsidR="00F12C92" w:rsidRDefault="00F12C92">
      <w:pPr>
        <w:spacing w:after="0" w:line="240" w:lineRule="auto"/>
        <w:rPr>
          <w:rFonts w:ascii="Arial" w:eastAsia="Arial" w:hAnsi="Arial" w:cs="Arial"/>
          <w:b/>
        </w:rPr>
      </w:pPr>
    </w:p>
    <w:p w14:paraId="6A2D8F34" w14:textId="77777777" w:rsidR="00F12C92" w:rsidRDefault="00F12C92">
      <w:pPr>
        <w:spacing w:after="0" w:line="240" w:lineRule="auto"/>
        <w:rPr>
          <w:rFonts w:ascii="Arial" w:eastAsia="Arial" w:hAnsi="Arial" w:cs="Arial"/>
          <w:b/>
        </w:rPr>
      </w:pPr>
      <w:r>
        <w:rPr>
          <w:rFonts w:ascii="Arial" w:eastAsia="Arial" w:hAnsi="Arial" w:cs="Arial"/>
          <w:b/>
        </w:rPr>
        <w:br w:type="page"/>
      </w:r>
    </w:p>
    <w:p w14:paraId="173B8D47" w14:textId="2894A93F" w:rsidR="00555BEA" w:rsidRDefault="00555BEA" w:rsidP="00B56E01">
      <w:pPr>
        <w:spacing w:after="120" w:line="360" w:lineRule="auto"/>
        <w:jc w:val="both"/>
        <w:rPr>
          <w:rFonts w:ascii="Arial" w:eastAsia="Arial" w:hAnsi="Arial" w:cs="Arial"/>
          <w:b/>
        </w:rPr>
      </w:pPr>
      <w:r>
        <w:rPr>
          <w:rFonts w:ascii="Arial" w:eastAsia="Arial" w:hAnsi="Arial" w:cs="Arial"/>
          <w:b/>
        </w:rPr>
        <w:lastRenderedPageBreak/>
        <w:t>METHODS</w:t>
      </w:r>
    </w:p>
    <w:p w14:paraId="62A79FED" w14:textId="77777777" w:rsidR="00555BEA" w:rsidRDefault="00555BEA" w:rsidP="00B56E01">
      <w:pPr>
        <w:spacing w:after="120" w:line="360" w:lineRule="auto"/>
        <w:ind w:firstLine="567"/>
        <w:jc w:val="both"/>
      </w:pPr>
      <w:r>
        <w:rPr>
          <w:rFonts w:ascii="Garamond" w:eastAsia="Garamond" w:hAnsi="Garamond" w:cs="Garamond"/>
          <w:color w:val="000000"/>
        </w:rPr>
        <w:t>The method used in the research is descriptive quantitative methods, namely obtaining an analytical picture of workforce preparedness in dealing with fires at the Dinoyo Community Health Center. Descriptive research is research that provides an overview or explains something in terms of characteristics or function. The researcher used a descriptive quantitative research design because the researcher aimed to find out and assess the preparedness of the workforce at the Dinoyo Community Health Center in dealing with fires. Based on ethical test number No.DP.04.03/F.XXI.31/0009/2024</w:t>
      </w:r>
      <w:r>
        <w:rPr>
          <w:rFonts w:ascii="Garamond" w:eastAsia="Garamond" w:hAnsi="Garamond" w:cs="Garamond"/>
        </w:rPr>
        <w:t>, the research has been declared ethically appropriate according to 7 (seven) WHO 2011 standards</w:t>
      </w:r>
      <w:r>
        <w:t>.</w:t>
      </w:r>
    </w:p>
    <w:p w14:paraId="53AF3DB5" w14:textId="77777777" w:rsidR="00555BEA" w:rsidRDefault="00555BEA" w:rsidP="00555BEA">
      <w:pPr>
        <w:spacing w:after="0" w:line="240" w:lineRule="auto"/>
        <w:jc w:val="both"/>
        <w:rPr>
          <w:rFonts w:ascii="Arial" w:eastAsia="Arial" w:hAnsi="Arial" w:cs="Arial"/>
          <w:b/>
        </w:rPr>
      </w:pPr>
    </w:p>
    <w:p w14:paraId="04DF3734" w14:textId="77777777" w:rsidR="00555BEA" w:rsidRDefault="00555BEA" w:rsidP="00D363F8">
      <w:pPr>
        <w:spacing w:after="120" w:line="360" w:lineRule="auto"/>
        <w:jc w:val="both"/>
        <w:rPr>
          <w:rFonts w:ascii="Arial" w:eastAsia="Arial" w:hAnsi="Arial" w:cs="Arial"/>
          <w:b/>
        </w:rPr>
      </w:pPr>
      <w:r>
        <w:rPr>
          <w:rFonts w:ascii="Arial" w:eastAsia="Arial" w:hAnsi="Arial" w:cs="Arial"/>
          <w:b/>
        </w:rPr>
        <w:t xml:space="preserve">RESULTS AND DISCUSSION </w:t>
      </w:r>
    </w:p>
    <w:p w14:paraId="02556F54" w14:textId="77777777" w:rsidR="00555BEA" w:rsidRDefault="00555BEA" w:rsidP="00D363F8">
      <w:pPr>
        <w:numPr>
          <w:ilvl w:val="0"/>
          <w:numId w:val="7"/>
        </w:numPr>
        <w:pBdr>
          <w:top w:val="nil"/>
          <w:left w:val="nil"/>
          <w:bottom w:val="nil"/>
          <w:right w:val="nil"/>
          <w:between w:val="nil"/>
        </w:pBdr>
        <w:spacing w:after="120" w:line="360" w:lineRule="auto"/>
        <w:ind w:left="284"/>
        <w:jc w:val="both"/>
        <w:rPr>
          <w:rFonts w:ascii="Garamond" w:eastAsia="Garamond" w:hAnsi="Garamond" w:cs="Garamond"/>
          <w:color w:val="000000"/>
        </w:rPr>
      </w:pPr>
      <w:r>
        <w:rPr>
          <w:rFonts w:ascii="Garamond" w:eastAsia="Garamond" w:hAnsi="Garamond" w:cs="Garamond"/>
          <w:color w:val="000000"/>
        </w:rPr>
        <w:t>Characteristics</w:t>
      </w:r>
    </w:p>
    <w:p w14:paraId="229CAE27" w14:textId="77777777" w:rsidR="00555BEA" w:rsidRDefault="00555BEA" w:rsidP="00B56E01">
      <w:pPr>
        <w:pBdr>
          <w:top w:val="nil"/>
          <w:left w:val="nil"/>
          <w:bottom w:val="nil"/>
          <w:right w:val="nil"/>
          <w:between w:val="nil"/>
        </w:pBdr>
        <w:spacing w:after="0" w:line="360" w:lineRule="auto"/>
        <w:ind w:left="284" w:firstLine="567"/>
        <w:jc w:val="both"/>
        <w:rPr>
          <w:rFonts w:ascii="Garamond" w:eastAsia="Garamond" w:hAnsi="Garamond" w:cs="Garamond"/>
          <w:color w:val="000000"/>
        </w:rPr>
      </w:pPr>
      <w:r>
        <w:rPr>
          <w:rFonts w:ascii="Garamond" w:eastAsia="Garamond" w:hAnsi="Garamond" w:cs="Garamond"/>
          <w:color w:val="000000"/>
        </w:rPr>
        <w:t>Respondent characteristics are a description of the respondent. Workforce characteristics are differentiated based on sociodemographic. Sociodemographic are distinguishing characteristics that describe individuals within a group of people. These individual characteristic factors are grouped into several groups, including age, gender, education level, occupation and training. These characteristics are factors in determining preparedness.</w:t>
      </w:r>
    </w:p>
    <w:p w14:paraId="5F322644" w14:textId="77777777" w:rsidR="00555BEA" w:rsidRDefault="00555BEA" w:rsidP="00D363F8">
      <w:pPr>
        <w:keepNext/>
        <w:pBdr>
          <w:top w:val="nil"/>
          <w:left w:val="nil"/>
          <w:bottom w:val="nil"/>
          <w:right w:val="nil"/>
          <w:between w:val="nil"/>
        </w:pBdr>
        <w:spacing w:after="0" w:line="360" w:lineRule="auto"/>
        <w:ind w:firstLine="284"/>
        <w:rPr>
          <w:rFonts w:ascii="Garamond" w:eastAsia="Garamond" w:hAnsi="Garamond" w:cs="Garamond"/>
          <w:color w:val="000000"/>
        </w:rPr>
      </w:pPr>
      <w:r w:rsidRPr="00555BEA">
        <w:rPr>
          <w:rFonts w:ascii="Garamond" w:eastAsia="Garamond" w:hAnsi="Garamond" w:cs="Garamond"/>
          <w:b/>
          <w:bCs/>
          <w:color w:val="000000"/>
        </w:rPr>
        <w:t>Table 2</w:t>
      </w:r>
      <w:r>
        <w:rPr>
          <w:rFonts w:ascii="Garamond" w:eastAsia="Garamond" w:hAnsi="Garamond" w:cs="Garamond"/>
          <w:color w:val="000000"/>
        </w:rPr>
        <w:t>. Distribution of Respondents Based on Workforce Characteristics</w:t>
      </w:r>
    </w:p>
    <w:tbl>
      <w:tblPr>
        <w:tblStyle w:val="PlainTable2"/>
        <w:tblpPr w:leftFromText="180" w:rightFromText="180" w:vertAnchor="text" w:tblpX="421"/>
        <w:tblW w:w="808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4"/>
        <w:gridCol w:w="992"/>
        <w:gridCol w:w="1418"/>
        <w:gridCol w:w="1001"/>
        <w:gridCol w:w="993"/>
        <w:gridCol w:w="850"/>
        <w:gridCol w:w="992"/>
        <w:gridCol w:w="1134"/>
      </w:tblGrid>
      <w:tr w:rsidR="00B56E01" w:rsidRPr="00555BEA" w14:paraId="30843EBE" w14:textId="77777777" w:rsidTr="00FC1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bottom w:val="none" w:sz="0" w:space="0" w:color="auto"/>
            </w:tcBorders>
            <w:vAlign w:val="center"/>
          </w:tcPr>
          <w:p w14:paraId="21F2F35E"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No</w:t>
            </w:r>
          </w:p>
        </w:tc>
        <w:tc>
          <w:tcPr>
            <w:tcW w:w="2410" w:type="dxa"/>
            <w:gridSpan w:val="2"/>
            <w:vMerge w:val="restart"/>
            <w:tcBorders>
              <w:bottom w:val="none" w:sz="0" w:space="0" w:color="auto"/>
            </w:tcBorders>
            <w:vAlign w:val="center"/>
          </w:tcPr>
          <w:p w14:paraId="006F2FE0" w14:textId="77777777" w:rsidR="00555BEA" w:rsidRPr="00555BEA" w:rsidRDefault="00555BEA" w:rsidP="001A124B">
            <w:pPr>
              <w:pBdr>
                <w:top w:val="nil"/>
                <w:left w:val="nil"/>
                <w:bottom w:val="nil"/>
                <w:right w:val="nil"/>
                <w:between w:val="nil"/>
              </w:pBdr>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Characteristics</w:t>
            </w:r>
          </w:p>
        </w:tc>
        <w:tc>
          <w:tcPr>
            <w:tcW w:w="3836" w:type="dxa"/>
            <w:gridSpan w:val="4"/>
            <w:tcBorders>
              <w:bottom w:val="none" w:sz="0" w:space="0" w:color="auto"/>
            </w:tcBorders>
            <w:vAlign w:val="center"/>
          </w:tcPr>
          <w:p w14:paraId="448C45DE" w14:textId="77777777" w:rsidR="00555BEA" w:rsidRPr="00555BEA" w:rsidRDefault="00555BEA" w:rsidP="001A124B">
            <w:pPr>
              <w:pBdr>
                <w:top w:val="nil"/>
                <w:left w:val="nil"/>
                <w:bottom w:val="nil"/>
                <w:right w:val="nil"/>
                <w:between w:val="nil"/>
              </w:pBdr>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Level of Preparedness</w:t>
            </w:r>
          </w:p>
        </w:tc>
        <w:tc>
          <w:tcPr>
            <w:tcW w:w="1134" w:type="dxa"/>
            <w:vMerge w:val="restart"/>
            <w:tcBorders>
              <w:bottom w:val="none" w:sz="0" w:space="0" w:color="auto"/>
            </w:tcBorders>
            <w:vAlign w:val="center"/>
          </w:tcPr>
          <w:p w14:paraId="546136E8" w14:textId="77777777" w:rsidR="00555BEA" w:rsidRPr="00555BEA" w:rsidRDefault="00555BEA" w:rsidP="001A124B">
            <w:pPr>
              <w:pBdr>
                <w:top w:val="nil"/>
                <w:left w:val="nil"/>
                <w:bottom w:val="nil"/>
                <w:right w:val="nil"/>
                <w:between w:val="nil"/>
              </w:pBdr>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Total</w:t>
            </w:r>
          </w:p>
        </w:tc>
      </w:tr>
      <w:tr w:rsidR="00B56E01" w:rsidRPr="00555BEA" w14:paraId="006926D9"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bottom w:val="none" w:sz="0" w:space="0" w:color="auto"/>
            </w:tcBorders>
            <w:vAlign w:val="center"/>
          </w:tcPr>
          <w:p w14:paraId="5C67DE68"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2410" w:type="dxa"/>
            <w:gridSpan w:val="2"/>
            <w:vMerge/>
            <w:tcBorders>
              <w:top w:val="none" w:sz="0" w:space="0" w:color="auto"/>
              <w:bottom w:val="none" w:sz="0" w:space="0" w:color="auto"/>
            </w:tcBorders>
            <w:vAlign w:val="center"/>
          </w:tcPr>
          <w:p w14:paraId="17CC1E64"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001" w:type="dxa"/>
            <w:tcBorders>
              <w:top w:val="none" w:sz="0" w:space="0" w:color="auto"/>
              <w:bottom w:val="none" w:sz="0" w:space="0" w:color="auto"/>
            </w:tcBorders>
            <w:vAlign w:val="center"/>
          </w:tcPr>
          <w:p w14:paraId="0CB6974E"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Less Ready</w:t>
            </w:r>
          </w:p>
        </w:tc>
        <w:tc>
          <w:tcPr>
            <w:tcW w:w="993" w:type="dxa"/>
            <w:tcBorders>
              <w:top w:val="none" w:sz="0" w:space="0" w:color="auto"/>
              <w:bottom w:val="none" w:sz="0" w:space="0" w:color="auto"/>
            </w:tcBorders>
            <w:vAlign w:val="center"/>
          </w:tcPr>
          <w:p w14:paraId="53D74EEC"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Almost Ready</w:t>
            </w:r>
          </w:p>
        </w:tc>
        <w:tc>
          <w:tcPr>
            <w:tcW w:w="850" w:type="dxa"/>
            <w:tcBorders>
              <w:top w:val="none" w:sz="0" w:space="0" w:color="auto"/>
              <w:bottom w:val="none" w:sz="0" w:space="0" w:color="auto"/>
            </w:tcBorders>
            <w:vAlign w:val="center"/>
          </w:tcPr>
          <w:p w14:paraId="05FB876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Ready</w:t>
            </w:r>
          </w:p>
        </w:tc>
        <w:tc>
          <w:tcPr>
            <w:tcW w:w="992" w:type="dxa"/>
            <w:tcBorders>
              <w:top w:val="none" w:sz="0" w:space="0" w:color="auto"/>
              <w:bottom w:val="none" w:sz="0" w:space="0" w:color="auto"/>
            </w:tcBorders>
            <w:vAlign w:val="center"/>
          </w:tcPr>
          <w:p w14:paraId="1D875CAE"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Very Ready</w:t>
            </w:r>
          </w:p>
        </w:tc>
        <w:tc>
          <w:tcPr>
            <w:tcW w:w="1134" w:type="dxa"/>
            <w:vMerge/>
            <w:tcBorders>
              <w:top w:val="none" w:sz="0" w:space="0" w:color="auto"/>
              <w:bottom w:val="none" w:sz="0" w:space="0" w:color="auto"/>
            </w:tcBorders>
            <w:vAlign w:val="center"/>
          </w:tcPr>
          <w:p w14:paraId="6CFB5141"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r>
      <w:tr w:rsidR="00F12C92" w:rsidRPr="00555BEA" w14:paraId="2BD3EB6E"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D040C9A"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1</w:t>
            </w:r>
          </w:p>
        </w:tc>
        <w:tc>
          <w:tcPr>
            <w:tcW w:w="992" w:type="dxa"/>
            <w:vMerge w:val="restart"/>
            <w:vAlign w:val="center"/>
          </w:tcPr>
          <w:p w14:paraId="7F644B8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Gender</w:t>
            </w:r>
          </w:p>
        </w:tc>
        <w:tc>
          <w:tcPr>
            <w:tcW w:w="1418" w:type="dxa"/>
            <w:vAlign w:val="center"/>
          </w:tcPr>
          <w:p w14:paraId="45B1A11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Man</w:t>
            </w:r>
          </w:p>
        </w:tc>
        <w:tc>
          <w:tcPr>
            <w:tcW w:w="1001" w:type="dxa"/>
          </w:tcPr>
          <w:p w14:paraId="4A7E4B6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w:t>
            </w:r>
          </w:p>
        </w:tc>
        <w:tc>
          <w:tcPr>
            <w:tcW w:w="993" w:type="dxa"/>
          </w:tcPr>
          <w:p w14:paraId="6A20341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850" w:type="dxa"/>
          </w:tcPr>
          <w:p w14:paraId="707A551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11</w:t>
            </w:r>
          </w:p>
        </w:tc>
        <w:tc>
          <w:tcPr>
            <w:tcW w:w="992" w:type="dxa"/>
          </w:tcPr>
          <w:p w14:paraId="201FB9F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3</w:t>
            </w:r>
          </w:p>
        </w:tc>
        <w:tc>
          <w:tcPr>
            <w:tcW w:w="1134" w:type="dxa"/>
          </w:tcPr>
          <w:p w14:paraId="7C2ED5F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15</w:t>
            </w:r>
          </w:p>
        </w:tc>
      </w:tr>
      <w:tr w:rsidR="00F12C92" w:rsidRPr="00555BEA" w14:paraId="6A90E280"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BFBAE81"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01627903"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39C91C2A"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Woman</w:t>
            </w:r>
          </w:p>
        </w:tc>
        <w:tc>
          <w:tcPr>
            <w:tcW w:w="1001" w:type="dxa"/>
          </w:tcPr>
          <w:p w14:paraId="734A5A50"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993" w:type="dxa"/>
          </w:tcPr>
          <w:p w14:paraId="0677995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4</w:t>
            </w:r>
          </w:p>
        </w:tc>
        <w:tc>
          <w:tcPr>
            <w:tcW w:w="850" w:type="dxa"/>
          </w:tcPr>
          <w:p w14:paraId="35415B6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24</w:t>
            </w:r>
          </w:p>
        </w:tc>
        <w:tc>
          <w:tcPr>
            <w:tcW w:w="992" w:type="dxa"/>
          </w:tcPr>
          <w:p w14:paraId="275CEB0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12</w:t>
            </w:r>
          </w:p>
        </w:tc>
        <w:tc>
          <w:tcPr>
            <w:tcW w:w="1134" w:type="dxa"/>
          </w:tcPr>
          <w:p w14:paraId="32B1D04D"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40</w:t>
            </w:r>
          </w:p>
        </w:tc>
      </w:tr>
      <w:tr w:rsidR="00F12C92" w:rsidRPr="00555BEA" w14:paraId="5AA9A253"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34E421C"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2</w:t>
            </w:r>
          </w:p>
        </w:tc>
        <w:tc>
          <w:tcPr>
            <w:tcW w:w="992" w:type="dxa"/>
            <w:vMerge w:val="restart"/>
            <w:vAlign w:val="center"/>
          </w:tcPr>
          <w:p w14:paraId="7C4AFE7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Age</w:t>
            </w:r>
          </w:p>
        </w:tc>
        <w:tc>
          <w:tcPr>
            <w:tcW w:w="1418" w:type="dxa"/>
            <w:vAlign w:val="center"/>
          </w:tcPr>
          <w:p w14:paraId="64101FD2"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Late Teens</w:t>
            </w:r>
          </w:p>
        </w:tc>
        <w:tc>
          <w:tcPr>
            <w:tcW w:w="1001" w:type="dxa"/>
          </w:tcPr>
          <w:p w14:paraId="59A1B55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993" w:type="dxa"/>
          </w:tcPr>
          <w:p w14:paraId="2BB6ED0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850" w:type="dxa"/>
          </w:tcPr>
          <w:p w14:paraId="23B0DDC5"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6</w:t>
            </w:r>
          </w:p>
        </w:tc>
        <w:tc>
          <w:tcPr>
            <w:tcW w:w="992" w:type="dxa"/>
          </w:tcPr>
          <w:p w14:paraId="5338A46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w:t>
            </w:r>
          </w:p>
        </w:tc>
        <w:tc>
          <w:tcPr>
            <w:tcW w:w="1134" w:type="dxa"/>
          </w:tcPr>
          <w:p w14:paraId="3F09164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rPr>
              <w:t>7</w:t>
            </w:r>
          </w:p>
        </w:tc>
      </w:tr>
      <w:tr w:rsidR="00F12C92" w:rsidRPr="00555BEA" w14:paraId="35C1F95D"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8C52AE3"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7F0B0D0B"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6600633E"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Early Adulthood</w:t>
            </w:r>
          </w:p>
        </w:tc>
        <w:tc>
          <w:tcPr>
            <w:tcW w:w="1001" w:type="dxa"/>
          </w:tcPr>
          <w:p w14:paraId="37EC324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w:t>
            </w:r>
          </w:p>
        </w:tc>
        <w:tc>
          <w:tcPr>
            <w:tcW w:w="993" w:type="dxa"/>
          </w:tcPr>
          <w:p w14:paraId="7B5228E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w:t>
            </w:r>
          </w:p>
        </w:tc>
        <w:tc>
          <w:tcPr>
            <w:tcW w:w="850" w:type="dxa"/>
          </w:tcPr>
          <w:p w14:paraId="19F74470"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9</w:t>
            </w:r>
          </w:p>
        </w:tc>
        <w:tc>
          <w:tcPr>
            <w:tcW w:w="992" w:type="dxa"/>
          </w:tcPr>
          <w:p w14:paraId="3E094A8A"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4</w:t>
            </w:r>
          </w:p>
        </w:tc>
        <w:tc>
          <w:tcPr>
            <w:tcW w:w="1134" w:type="dxa"/>
          </w:tcPr>
          <w:p w14:paraId="057D5F69"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rPr>
              <w:t>15</w:t>
            </w:r>
          </w:p>
        </w:tc>
      </w:tr>
      <w:tr w:rsidR="00F12C92" w:rsidRPr="00555BEA" w14:paraId="07DDD633"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D8843CB"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1F9DA8E0"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7E64630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Late Adulthood</w:t>
            </w:r>
          </w:p>
        </w:tc>
        <w:tc>
          <w:tcPr>
            <w:tcW w:w="1001" w:type="dxa"/>
          </w:tcPr>
          <w:p w14:paraId="6C37F29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993" w:type="dxa"/>
          </w:tcPr>
          <w:p w14:paraId="396245D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3</w:t>
            </w:r>
          </w:p>
        </w:tc>
        <w:tc>
          <w:tcPr>
            <w:tcW w:w="850" w:type="dxa"/>
          </w:tcPr>
          <w:p w14:paraId="0A1D87B2"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11</w:t>
            </w:r>
          </w:p>
        </w:tc>
        <w:tc>
          <w:tcPr>
            <w:tcW w:w="992" w:type="dxa"/>
          </w:tcPr>
          <w:p w14:paraId="29EB7B8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9</w:t>
            </w:r>
          </w:p>
        </w:tc>
        <w:tc>
          <w:tcPr>
            <w:tcW w:w="1134" w:type="dxa"/>
          </w:tcPr>
          <w:p w14:paraId="49EF996D"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rPr>
              <w:t>23</w:t>
            </w:r>
          </w:p>
        </w:tc>
      </w:tr>
      <w:tr w:rsidR="00F12C92" w:rsidRPr="00555BEA" w14:paraId="75E2DFD0"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46F0FB5"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13BA80E7"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74EFD1D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Early Elderly</w:t>
            </w:r>
          </w:p>
        </w:tc>
        <w:tc>
          <w:tcPr>
            <w:tcW w:w="1001" w:type="dxa"/>
          </w:tcPr>
          <w:p w14:paraId="2F52209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993" w:type="dxa"/>
          </w:tcPr>
          <w:p w14:paraId="7CB9018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850" w:type="dxa"/>
          </w:tcPr>
          <w:p w14:paraId="607C1BCA"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7</w:t>
            </w:r>
          </w:p>
        </w:tc>
        <w:tc>
          <w:tcPr>
            <w:tcW w:w="992" w:type="dxa"/>
          </w:tcPr>
          <w:p w14:paraId="1442F18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w:t>
            </w:r>
          </w:p>
        </w:tc>
        <w:tc>
          <w:tcPr>
            <w:tcW w:w="1134" w:type="dxa"/>
          </w:tcPr>
          <w:p w14:paraId="67384CB0"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rPr>
              <w:t>8</w:t>
            </w:r>
          </w:p>
        </w:tc>
      </w:tr>
      <w:tr w:rsidR="00F12C92" w:rsidRPr="00555BEA" w14:paraId="16756C5D"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BB133A3"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7816BE77"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1B95DBA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Late Elderly</w:t>
            </w:r>
          </w:p>
        </w:tc>
        <w:tc>
          <w:tcPr>
            <w:tcW w:w="1001" w:type="dxa"/>
          </w:tcPr>
          <w:p w14:paraId="5F18A2C2"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993" w:type="dxa"/>
          </w:tcPr>
          <w:p w14:paraId="4F28C77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850" w:type="dxa"/>
          </w:tcPr>
          <w:p w14:paraId="6A78012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2</w:t>
            </w:r>
          </w:p>
        </w:tc>
        <w:tc>
          <w:tcPr>
            <w:tcW w:w="992" w:type="dxa"/>
          </w:tcPr>
          <w:p w14:paraId="18D143D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0</w:t>
            </w:r>
          </w:p>
        </w:tc>
        <w:tc>
          <w:tcPr>
            <w:tcW w:w="1134" w:type="dxa"/>
          </w:tcPr>
          <w:p w14:paraId="2F24163A"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rPr>
              <w:t>2</w:t>
            </w:r>
          </w:p>
        </w:tc>
      </w:tr>
      <w:tr w:rsidR="00F12C92" w:rsidRPr="00555BEA" w14:paraId="6C4197B4"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31CAF597"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3</w:t>
            </w:r>
          </w:p>
        </w:tc>
        <w:tc>
          <w:tcPr>
            <w:tcW w:w="992" w:type="dxa"/>
            <w:vMerge w:val="restart"/>
            <w:vAlign w:val="center"/>
          </w:tcPr>
          <w:p w14:paraId="523C7879"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Level of education</w:t>
            </w:r>
          </w:p>
        </w:tc>
        <w:tc>
          <w:tcPr>
            <w:tcW w:w="1418" w:type="dxa"/>
            <w:vAlign w:val="center"/>
          </w:tcPr>
          <w:p w14:paraId="74E692E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Junior High School</w:t>
            </w:r>
          </w:p>
        </w:tc>
        <w:tc>
          <w:tcPr>
            <w:tcW w:w="1001" w:type="dxa"/>
          </w:tcPr>
          <w:p w14:paraId="4C9E4C5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6FE33D8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7BBB7BE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2" w:type="dxa"/>
          </w:tcPr>
          <w:p w14:paraId="628CC7B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134" w:type="dxa"/>
            <w:vAlign w:val="center"/>
          </w:tcPr>
          <w:p w14:paraId="4DD7D63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F12C92" w:rsidRPr="00555BEA" w14:paraId="1D08F306"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B65B62C"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780A9178"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487BA07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Senior High School</w:t>
            </w:r>
          </w:p>
        </w:tc>
        <w:tc>
          <w:tcPr>
            <w:tcW w:w="1001" w:type="dxa"/>
          </w:tcPr>
          <w:p w14:paraId="49C85A2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2636C72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1E84211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5</w:t>
            </w:r>
          </w:p>
        </w:tc>
        <w:tc>
          <w:tcPr>
            <w:tcW w:w="992" w:type="dxa"/>
          </w:tcPr>
          <w:p w14:paraId="4DF5CF4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1134" w:type="dxa"/>
            <w:vAlign w:val="center"/>
          </w:tcPr>
          <w:p w14:paraId="6A1E073F"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r>
      <w:tr w:rsidR="00F12C92" w:rsidRPr="00555BEA" w14:paraId="438B4E41"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B5FFFAC"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2CE0692A"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382F378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Associate Degree</w:t>
            </w:r>
          </w:p>
        </w:tc>
        <w:tc>
          <w:tcPr>
            <w:tcW w:w="1001" w:type="dxa"/>
          </w:tcPr>
          <w:p w14:paraId="067192D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4E1A9A9E"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850" w:type="dxa"/>
          </w:tcPr>
          <w:p w14:paraId="6DAA83C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16</w:t>
            </w:r>
          </w:p>
        </w:tc>
        <w:tc>
          <w:tcPr>
            <w:tcW w:w="992" w:type="dxa"/>
          </w:tcPr>
          <w:p w14:paraId="418F3899"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c>
          <w:tcPr>
            <w:tcW w:w="1134" w:type="dxa"/>
            <w:vAlign w:val="center"/>
          </w:tcPr>
          <w:p w14:paraId="2E7B196E"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24</w:t>
            </w:r>
          </w:p>
        </w:tc>
      </w:tr>
      <w:tr w:rsidR="00F12C92" w:rsidRPr="00555BEA" w14:paraId="6B5731EB"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245DD6B"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5D4C287D"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4DBA1C5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Applied Bachelor</w:t>
            </w:r>
          </w:p>
        </w:tc>
        <w:tc>
          <w:tcPr>
            <w:tcW w:w="1001" w:type="dxa"/>
          </w:tcPr>
          <w:p w14:paraId="77DE737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2C00CD7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850" w:type="dxa"/>
          </w:tcPr>
          <w:p w14:paraId="35D60B7E"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Pr>
          <w:p w14:paraId="6F83B76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c>
          <w:tcPr>
            <w:tcW w:w="1134" w:type="dxa"/>
            <w:vAlign w:val="center"/>
          </w:tcPr>
          <w:p w14:paraId="2B1F5045"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r>
      <w:tr w:rsidR="00F12C92" w:rsidRPr="00555BEA" w14:paraId="18A260B9"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B22EFD2"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5657110C"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6535D75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Bachelor</w:t>
            </w:r>
          </w:p>
        </w:tc>
        <w:tc>
          <w:tcPr>
            <w:tcW w:w="1001" w:type="dxa"/>
          </w:tcPr>
          <w:p w14:paraId="5D92361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3" w:type="dxa"/>
          </w:tcPr>
          <w:p w14:paraId="4D31C6E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850" w:type="dxa"/>
          </w:tcPr>
          <w:p w14:paraId="09A86EC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10</w:t>
            </w:r>
          </w:p>
        </w:tc>
        <w:tc>
          <w:tcPr>
            <w:tcW w:w="992" w:type="dxa"/>
          </w:tcPr>
          <w:p w14:paraId="1DAD85A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c>
          <w:tcPr>
            <w:tcW w:w="1134" w:type="dxa"/>
            <w:vAlign w:val="center"/>
          </w:tcPr>
          <w:p w14:paraId="24EC4F13"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15</w:t>
            </w:r>
          </w:p>
        </w:tc>
      </w:tr>
      <w:tr w:rsidR="00F12C92" w:rsidRPr="00555BEA" w14:paraId="3AF64E99"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865645D"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54C7FE61"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1776AAB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Master</w:t>
            </w:r>
          </w:p>
        </w:tc>
        <w:tc>
          <w:tcPr>
            <w:tcW w:w="1001" w:type="dxa"/>
          </w:tcPr>
          <w:p w14:paraId="3E80731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60CC2B2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13A10D7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2" w:type="dxa"/>
          </w:tcPr>
          <w:p w14:paraId="248DE625"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134" w:type="dxa"/>
            <w:vAlign w:val="center"/>
          </w:tcPr>
          <w:p w14:paraId="72C2EC76"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r>
      <w:tr w:rsidR="00F12C92" w:rsidRPr="00555BEA" w14:paraId="0F62AD9C"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1632146F"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4</w:t>
            </w:r>
          </w:p>
        </w:tc>
        <w:tc>
          <w:tcPr>
            <w:tcW w:w="992" w:type="dxa"/>
            <w:vMerge w:val="restart"/>
            <w:vAlign w:val="center"/>
          </w:tcPr>
          <w:p w14:paraId="1A46996E"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Profession</w:t>
            </w:r>
          </w:p>
        </w:tc>
        <w:tc>
          <w:tcPr>
            <w:tcW w:w="1418" w:type="dxa"/>
            <w:vAlign w:val="center"/>
          </w:tcPr>
          <w:p w14:paraId="2178BFC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Administration</w:t>
            </w:r>
          </w:p>
        </w:tc>
        <w:tc>
          <w:tcPr>
            <w:tcW w:w="1001" w:type="dxa"/>
          </w:tcPr>
          <w:p w14:paraId="3062966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512FD39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32D5253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Pr>
          <w:p w14:paraId="3601954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134" w:type="dxa"/>
            <w:vAlign w:val="center"/>
          </w:tcPr>
          <w:p w14:paraId="75C7DC7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F12C92" w:rsidRPr="00555BEA" w14:paraId="61EDEA68"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7AAF96F"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55300744"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2E93A3C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Pharmacist</w:t>
            </w:r>
          </w:p>
        </w:tc>
        <w:tc>
          <w:tcPr>
            <w:tcW w:w="1001" w:type="dxa"/>
          </w:tcPr>
          <w:p w14:paraId="70FEEE9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7F142D3C"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441845E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Pr>
          <w:p w14:paraId="723F0A3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134" w:type="dxa"/>
            <w:vAlign w:val="center"/>
          </w:tcPr>
          <w:p w14:paraId="77786CAC"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r>
      <w:tr w:rsidR="00F12C92" w:rsidRPr="00555BEA" w14:paraId="4ED5C0B0"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F469595"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51E5745B"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6AADB16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ATLM</w:t>
            </w:r>
          </w:p>
        </w:tc>
        <w:tc>
          <w:tcPr>
            <w:tcW w:w="1001" w:type="dxa"/>
          </w:tcPr>
          <w:p w14:paraId="247ACCC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160EAF69"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4C6BFCB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2" w:type="dxa"/>
          </w:tcPr>
          <w:p w14:paraId="65CA49A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134" w:type="dxa"/>
            <w:vAlign w:val="center"/>
          </w:tcPr>
          <w:p w14:paraId="1C78515B"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F12C92" w:rsidRPr="00555BEA" w14:paraId="5CF13B65"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94DF55A"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3ECA8098"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79B42DA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Midwife</w:t>
            </w:r>
          </w:p>
        </w:tc>
        <w:tc>
          <w:tcPr>
            <w:tcW w:w="1001" w:type="dxa"/>
          </w:tcPr>
          <w:p w14:paraId="1047F86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3411126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850" w:type="dxa"/>
          </w:tcPr>
          <w:p w14:paraId="0DFCFAB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992" w:type="dxa"/>
          </w:tcPr>
          <w:p w14:paraId="3D2A7EB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c>
          <w:tcPr>
            <w:tcW w:w="1134" w:type="dxa"/>
            <w:vAlign w:val="center"/>
          </w:tcPr>
          <w:p w14:paraId="224C1C95"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12</w:t>
            </w:r>
          </w:p>
        </w:tc>
      </w:tr>
      <w:tr w:rsidR="00F12C92" w:rsidRPr="00555BEA" w14:paraId="46BCA0CD"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2D808588"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368F8534"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3AF5EAB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Cleaning Service</w:t>
            </w:r>
          </w:p>
        </w:tc>
        <w:tc>
          <w:tcPr>
            <w:tcW w:w="1001" w:type="dxa"/>
          </w:tcPr>
          <w:p w14:paraId="073A4B9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6273BDC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0D44127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Pr>
          <w:p w14:paraId="07847E2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1134" w:type="dxa"/>
            <w:vAlign w:val="center"/>
          </w:tcPr>
          <w:p w14:paraId="00E75BE2"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r>
      <w:tr w:rsidR="00F12C92" w:rsidRPr="00555BEA" w14:paraId="52CB8340"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4D71BF0D"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1FBB2E37"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6AE8BB4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Doctor</w:t>
            </w:r>
          </w:p>
        </w:tc>
        <w:tc>
          <w:tcPr>
            <w:tcW w:w="1001" w:type="dxa"/>
          </w:tcPr>
          <w:p w14:paraId="7D66C2E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6A5005D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850" w:type="dxa"/>
          </w:tcPr>
          <w:p w14:paraId="1AFCCE9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992" w:type="dxa"/>
          </w:tcPr>
          <w:p w14:paraId="6F8D52C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1134" w:type="dxa"/>
            <w:vAlign w:val="center"/>
          </w:tcPr>
          <w:p w14:paraId="1BACE4A0"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r>
      <w:tr w:rsidR="00F12C92" w:rsidRPr="00555BEA" w14:paraId="14719F55"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476FFC5"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443F1A62"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43E3F81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Nutritionist</w:t>
            </w:r>
          </w:p>
        </w:tc>
        <w:tc>
          <w:tcPr>
            <w:tcW w:w="1001" w:type="dxa"/>
          </w:tcPr>
          <w:p w14:paraId="1BB0958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6065C88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3BCA53A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c>
          <w:tcPr>
            <w:tcW w:w="992" w:type="dxa"/>
          </w:tcPr>
          <w:p w14:paraId="5BF9315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134" w:type="dxa"/>
            <w:vAlign w:val="center"/>
          </w:tcPr>
          <w:p w14:paraId="01E6F5D5"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r>
      <w:tr w:rsidR="00F12C92" w:rsidRPr="00555BEA" w14:paraId="1223DDD4"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65FA4723"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4D87F097"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7325B9C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Nurse</w:t>
            </w:r>
          </w:p>
        </w:tc>
        <w:tc>
          <w:tcPr>
            <w:tcW w:w="1001" w:type="dxa"/>
          </w:tcPr>
          <w:p w14:paraId="0954065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778420B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850" w:type="dxa"/>
          </w:tcPr>
          <w:p w14:paraId="22E879B5"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c>
          <w:tcPr>
            <w:tcW w:w="992" w:type="dxa"/>
          </w:tcPr>
          <w:p w14:paraId="4B91CB3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1134" w:type="dxa"/>
            <w:vAlign w:val="center"/>
          </w:tcPr>
          <w:p w14:paraId="332E4BEF"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9</w:t>
            </w:r>
          </w:p>
        </w:tc>
      </w:tr>
      <w:tr w:rsidR="00F12C92" w:rsidRPr="00555BEA" w14:paraId="5E8A2991"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0501C4DE"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2FEA2AA0"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45721BE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Health Promotion</w:t>
            </w:r>
          </w:p>
        </w:tc>
        <w:tc>
          <w:tcPr>
            <w:tcW w:w="1001" w:type="dxa"/>
          </w:tcPr>
          <w:p w14:paraId="45A48C2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3" w:type="dxa"/>
          </w:tcPr>
          <w:p w14:paraId="54A2D42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05B2617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992" w:type="dxa"/>
          </w:tcPr>
          <w:p w14:paraId="2751148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134" w:type="dxa"/>
            <w:vAlign w:val="center"/>
          </w:tcPr>
          <w:p w14:paraId="6C8C5447"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5</w:t>
            </w:r>
          </w:p>
        </w:tc>
      </w:tr>
      <w:tr w:rsidR="00F12C92" w:rsidRPr="00555BEA" w14:paraId="0D1FCD64"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75699097"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6DDCE6CA"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4E8ECFF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Medical records</w:t>
            </w:r>
          </w:p>
        </w:tc>
        <w:tc>
          <w:tcPr>
            <w:tcW w:w="1001" w:type="dxa"/>
          </w:tcPr>
          <w:p w14:paraId="57CDF972"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13E770C5"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30DDEDB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992" w:type="dxa"/>
          </w:tcPr>
          <w:p w14:paraId="4CF454A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134" w:type="dxa"/>
            <w:vAlign w:val="center"/>
          </w:tcPr>
          <w:p w14:paraId="54604ABB"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r>
      <w:tr w:rsidR="00F12C92" w:rsidRPr="00555BEA" w14:paraId="65C4500B"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817268F"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4B2EFC63"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1418" w:type="dxa"/>
            <w:vAlign w:val="center"/>
          </w:tcPr>
          <w:p w14:paraId="649543E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Sanitarian</w:t>
            </w:r>
          </w:p>
        </w:tc>
        <w:tc>
          <w:tcPr>
            <w:tcW w:w="1001" w:type="dxa"/>
          </w:tcPr>
          <w:p w14:paraId="4D5A918A"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268E43C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3ACC2C8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Pr>
          <w:p w14:paraId="45D4DFB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134" w:type="dxa"/>
            <w:vAlign w:val="center"/>
          </w:tcPr>
          <w:p w14:paraId="1297D49D"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F12C92" w:rsidRPr="00555BEA" w14:paraId="67DE49A0"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373F9B00"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1E2A2326"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51931B9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Security guard</w:t>
            </w:r>
          </w:p>
        </w:tc>
        <w:tc>
          <w:tcPr>
            <w:tcW w:w="1001" w:type="dxa"/>
          </w:tcPr>
          <w:p w14:paraId="1396E8F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1F75306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850" w:type="dxa"/>
          </w:tcPr>
          <w:p w14:paraId="6DCE372E"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2" w:type="dxa"/>
          </w:tcPr>
          <w:p w14:paraId="1B27CB2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134" w:type="dxa"/>
            <w:vAlign w:val="center"/>
          </w:tcPr>
          <w:p w14:paraId="60A9A9A7"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F12C92" w:rsidRPr="00555BEA" w14:paraId="233A634D" w14:textId="77777777" w:rsidTr="00FC1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tcPr>
          <w:p w14:paraId="55BB76C9"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5</w:t>
            </w:r>
          </w:p>
        </w:tc>
        <w:tc>
          <w:tcPr>
            <w:tcW w:w="992" w:type="dxa"/>
            <w:vMerge w:val="restart"/>
            <w:vAlign w:val="center"/>
          </w:tcPr>
          <w:p w14:paraId="13C8D9E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Training</w:t>
            </w:r>
          </w:p>
        </w:tc>
        <w:tc>
          <w:tcPr>
            <w:tcW w:w="1418" w:type="dxa"/>
            <w:vAlign w:val="center"/>
          </w:tcPr>
          <w:p w14:paraId="1B5D624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Once</w:t>
            </w:r>
          </w:p>
        </w:tc>
        <w:tc>
          <w:tcPr>
            <w:tcW w:w="1001" w:type="dxa"/>
          </w:tcPr>
          <w:p w14:paraId="6890A120"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3" w:type="dxa"/>
          </w:tcPr>
          <w:p w14:paraId="0F82263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850" w:type="dxa"/>
          </w:tcPr>
          <w:p w14:paraId="0F00BA70"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33</w:t>
            </w:r>
          </w:p>
        </w:tc>
        <w:tc>
          <w:tcPr>
            <w:tcW w:w="992" w:type="dxa"/>
          </w:tcPr>
          <w:p w14:paraId="29FD25D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13</w:t>
            </w:r>
          </w:p>
        </w:tc>
        <w:tc>
          <w:tcPr>
            <w:tcW w:w="1134" w:type="dxa"/>
          </w:tcPr>
          <w:p w14:paraId="6FA18A0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49</w:t>
            </w:r>
          </w:p>
        </w:tc>
      </w:tr>
      <w:tr w:rsidR="00F12C92" w:rsidRPr="00555BEA" w14:paraId="5748A379" w14:textId="77777777" w:rsidTr="00FC1696">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12005293"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992" w:type="dxa"/>
            <w:vMerge/>
            <w:vAlign w:val="center"/>
          </w:tcPr>
          <w:p w14:paraId="316C7D76"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1418" w:type="dxa"/>
            <w:vAlign w:val="center"/>
          </w:tcPr>
          <w:p w14:paraId="2A15EA3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Never</w:t>
            </w:r>
          </w:p>
        </w:tc>
        <w:tc>
          <w:tcPr>
            <w:tcW w:w="1001" w:type="dxa"/>
          </w:tcPr>
          <w:p w14:paraId="25C70B5C"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3" w:type="dxa"/>
          </w:tcPr>
          <w:p w14:paraId="600B97E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850" w:type="dxa"/>
          </w:tcPr>
          <w:p w14:paraId="37D007DC"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Pr>
          <w:p w14:paraId="42CA559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1134" w:type="dxa"/>
          </w:tcPr>
          <w:p w14:paraId="674182ED"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r>
    </w:tbl>
    <w:p w14:paraId="18B44FF2" w14:textId="77777777" w:rsidR="00555BEA" w:rsidRDefault="00555BEA" w:rsidP="00555BEA">
      <w:pPr>
        <w:pBdr>
          <w:top w:val="nil"/>
          <w:left w:val="nil"/>
          <w:bottom w:val="nil"/>
          <w:right w:val="nil"/>
          <w:between w:val="nil"/>
        </w:pBdr>
        <w:spacing w:after="0" w:line="360" w:lineRule="auto"/>
        <w:ind w:left="927"/>
        <w:jc w:val="both"/>
        <w:rPr>
          <w:rFonts w:ascii="Garamond" w:eastAsia="Garamond" w:hAnsi="Garamond" w:cs="Garamond"/>
          <w:color w:val="000000"/>
        </w:rPr>
      </w:pPr>
    </w:p>
    <w:p w14:paraId="586BBB79" w14:textId="77777777" w:rsidR="00555BEA" w:rsidRDefault="00555BEA" w:rsidP="0046203B">
      <w:pPr>
        <w:numPr>
          <w:ilvl w:val="0"/>
          <w:numId w:val="8"/>
        </w:numPr>
        <w:pBdr>
          <w:top w:val="nil"/>
          <w:left w:val="nil"/>
          <w:bottom w:val="nil"/>
          <w:right w:val="nil"/>
          <w:between w:val="nil"/>
        </w:pBdr>
        <w:spacing w:after="0" w:line="360" w:lineRule="auto"/>
        <w:ind w:left="567"/>
        <w:jc w:val="both"/>
        <w:rPr>
          <w:rFonts w:ascii="Garamond" w:eastAsia="Garamond" w:hAnsi="Garamond" w:cs="Garamond"/>
          <w:color w:val="000000"/>
        </w:rPr>
      </w:pPr>
      <w:r>
        <w:rPr>
          <w:rFonts w:ascii="Garamond" w:eastAsia="Garamond" w:hAnsi="Garamond" w:cs="Garamond"/>
          <w:color w:val="000000"/>
        </w:rPr>
        <w:t>Gender</w:t>
      </w:r>
    </w:p>
    <w:p w14:paraId="3803F284"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The table above shows the distribution of workforce characteristics based on gender. It is known that the female workforce is 40 respondents (72.7%) with 12 respondents (30%) in the "very ready" category, 24 respondents (60%), and 4 respondents (10%) in the "almost ready" category. Meanwhile, men accounted for 15 respondents (27.3%) with 3 respondents (20%) in the "very ready" category, 11 respondents (73.3%) in the "ready" category, and 1 respondent (6.7%) in the "ready" category. not ready."</w:t>
      </w:r>
    </w:p>
    <w:p w14:paraId="0A7B7877" w14:textId="77777777" w:rsidR="00555BEA" w:rsidRDefault="00555BEA" w:rsidP="0046203B">
      <w:pPr>
        <w:numPr>
          <w:ilvl w:val="0"/>
          <w:numId w:val="8"/>
        </w:numPr>
        <w:pBdr>
          <w:top w:val="nil"/>
          <w:left w:val="nil"/>
          <w:bottom w:val="nil"/>
          <w:right w:val="nil"/>
          <w:between w:val="nil"/>
        </w:pBdr>
        <w:spacing w:after="0" w:line="360" w:lineRule="auto"/>
        <w:ind w:left="567"/>
        <w:jc w:val="both"/>
        <w:rPr>
          <w:rFonts w:ascii="Garamond" w:eastAsia="Garamond" w:hAnsi="Garamond" w:cs="Garamond"/>
          <w:color w:val="000000"/>
        </w:rPr>
      </w:pPr>
      <w:r>
        <w:rPr>
          <w:rFonts w:ascii="Garamond" w:eastAsia="Garamond" w:hAnsi="Garamond" w:cs="Garamond"/>
          <w:color w:val="000000"/>
        </w:rPr>
        <w:t>Age</w:t>
      </w:r>
    </w:p>
    <w:p w14:paraId="3DC91DC9"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 xml:space="preserve">The table above shows the distribution of workforce characteristics based on age. The results of the analysis show that there were 7 respondents with an age range of 17-25 years (late teens), of which 6 respondents (85.7%) were in the "ready" category and 1 respondent (14.3%) was in the "very ready" category. 15 respondents aged 26-35 years (early adulthood) with 4 respondents (26.6%) in the "very ready" category, 9 respondents (60%) in the "ready" </w:t>
      </w:r>
      <w:r>
        <w:rPr>
          <w:rFonts w:ascii="Garamond" w:eastAsia="Garamond" w:hAnsi="Garamond" w:cs="Garamond"/>
          <w:color w:val="000000"/>
        </w:rPr>
        <w:lastRenderedPageBreak/>
        <w:t xml:space="preserve">category, 1 respondent (6.7%) in the "almost ready" category. , and 1 respondent (6.7%) was in the "less prepared" category. </w:t>
      </w:r>
    </w:p>
    <w:p w14:paraId="67887678"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 xml:space="preserve">The majority of respondents were aged 36 – 45 years (late adulthood) with 23 respondents (41.8%). There were 9 respondents (39.19%) in the "very ready" category, 11 respondents (47.83%) in the "ready" category, and 3 respondents (13.04%) in the "almost ready" category. </w:t>
      </w:r>
    </w:p>
    <w:p w14:paraId="7935BA40" w14:textId="17F68345" w:rsidR="00216F9C"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Respondents aged between 46 – 55 years (early elderly) were 8 people (14.5%). There was 1 respondent (12.5%) in the "very ready" category and 7 respondents (87.5%) in the "ready" category. There were 2 respondents aged 56 – 65 years (late elderly) in the "ready" category.</w:t>
      </w:r>
    </w:p>
    <w:p w14:paraId="1D370F3B" w14:textId="679555BF" w:rsidR="00555BEA" w:rsidRDefault="00555BEA" w:rsidP="0046203B">
      <w:pPr>
        <w:numPr>
          <w:ilvl w:val="0"/>
          <w:numId w:val="8"/>
        </w:numPr>
        <w:pBdr>
          <w:top w:val="nil"/>
          <w:left w:val="nil"/>
          <w:bottom w:val="nil"/>
          <w:right w:val="nil"/>
          <w:between w:val="nil"/>
        </w:pBdr>
        <w:spacing w:after="0" w:line="360" w:lineRule="auto"/>
        <w:ind w:left="567"/>
        <w:jc w:val="both"/>
        <w:rPr>
          <w:rFonts w:ascii="Garamond" w:eastAsia="Garamond" w:hAnsi="Garamond" w:cs="Garamond"/>
          <w:color w:val="000000"/>
        </w:rPr>
      </w:pPr>
      <w:r>
        <w:rPr>
          <w:rFonts w:ascii="Garamond" w:eastAsia="Garamond" w:hAnsi="Garamond" w:cs="Garamond"/>
          <w:color w:val="000000"/>
        </w:rPr>
        <w:t>Level of education</w:t>
      </w:r>
    </w:p>
    <w:p w14:paraId="64500626"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From the table above, you can see the characteristics of the workforce based on education level. Of the 55 workers, 2 people (3.6%) have junior high school education, with the preparedness category 1 respondent (50%) "ready" and 1 respondent (50%) "very ready". 7 people (12.7%) had SMA/SMK education, of which 5 people were in the "ready" category (71.4%) and 2 people were "very ready" (28.6%).</w:t>
      </w:r>
    </w:p>
    <w:p w14:paraId="6D08D717"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 xml:space="preserve">The majority of the workforce, 24 people (43.6%) have a D3 education, of which 6 respondents (25%) are in the "very ready" category, 16 respondents (66.7%) are in the "ready" category, and 2 respondents (8.3%) are in the "ready" category. “almost ready”. There were 6 people (10.9%) with D4 education in the category, including 3 respondents (50%) in the "very ready" category, 2 respondents in the "ready" category, and 1 respondent (16.7%) in the "almost ready" category. </w:t>
      </w:r>
    </w:p>
    <w:p w14:paraId="07306DCB"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There were 15 people (27.3%) with a bachelor's degree, of which 3 respondents (20%) were in the "very ready" category, 10 respondents (66.6%) were in the "ready" category, 1 respondent (6.7%) was in the "almost ready" category. , and 1 respondent (6.7%) was in the "less prepared" category. 1 person (1.8%) has a master's degree in the "ready" category.</w:t>
      </w:r>
    </w:p>
    <w:p w14:paraId="67F0AF87" w14:textId="77777777" w:rsidR="00555BEA" w:rsidRDefault="00555BEA" w:rsidP="0046203B">
      <w:pPr>
        <w:numPr>
          <w:ilvl w:val="0"/>
          <w:numId w:val="8"/>
        </w:numPr>
        <w:pBdr>
          <w:top w:val="nil"/>
          <w:left w:val="nil"/>
          <w:bottom w:val="nil"/>
          <w:right w:val="nil"/>
          <w:between w:val="nil"/>
        </w:pBdr>
        <w:spacing w:after="0" w:line="360" w:lineRule="auto"/>
        <w:ind w:left="567"/>
        <w:jc w:val="both"/>
        <w:rPr>
          <w:rFonts w:ascii="Garamond" w:eastAsia="Garamond" w:hAnsi="Garamond" w:cs="Garamond"/>
          <w:color w:val="000000"/>
        </w:rPr>
      </w:pPr>
      <w:r>
        <w:rPr>
          <w:rFonts w:ascii="Garamond" w:eastAsia="Garamond" w:hAnsi="Garamond" w:cs="Garamond"/>
          <w:color w:val="000000"/>
        </w:rPr>
        <w:t>Worker Profession</w:t>
      </w:r>
    </w:p>
    <w:p w14:paraId="178AC362"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 xml:space="preserve">From the table above, it shows the characteristics of the workforce based on work. Of the 55 workers, 2 people (3.6%) work as administrative staff in the "ready" category. 3 people (5.5%) were pharmacists with 1 respondent (33.3%) in the "very ready" category and 2 respondents (66.7%) in the "ready" category. There are 2 laboratory or ATLM officers (3.6%) of which 1 respondent (50%) is in the "very ready" category and 1 respondent (50%) is in the "ready" category. </w:t>
      </w:r>
    </w:p>
    <w:p w14:paraId="41764B50"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 xml:space="preserve">The majority worked as midwives with 12 people (21.8%). There were 6 respondents (50%) in the "very ready" category, 4 respondents (33.3%) in the "ready" category, and 2 </w:t>
      </w:r>
      <w:r>
        <w:rPr>
          <w:rFonts w:ascii="Garamond" w:eastAsia="Garamond" w:hAnsi="Garamond" w:cs="Garamond"/>
          <w:color w:val="000000"/>
        </w:rPr>
        <w:lastRenderedPageBreak/>
        <w:t>respondents (16.7%) in the "almost ready" category. Dinoyo Community Health Center has 7 (12.7%) doctors, including 2 respondents (28.6%) in the "very ready" category, 4 respondents (57.1%) "ready", and 1 respondent "almost ready" ( 14.3%).</w:t>
      </w:r>
    </w:p>
    <w:p w14:paraId="72340531"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There are 3 people (5.5%) working as nutritionists in the "ready" category. Other medical staff, namely nurses, were 9 people (16.4%). 2 respondents (22.2%) were in the "very ready" category, 6 respondents (66.7%) were in the "ready" category, and 1 respondent (11.1%) was in the "almost ready" category.</w:t>
      </w:r>
    </w:p>
    <w:p w14:paraId="50B80D6E"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There are 5 people (9.1%) working as health promotion. 4 respondents (80%) were in the "ready" category and another 1 respondent (20%) was in the "less ready" category. There are 4 medical records personnel (7.3%) included in the "ready" category. Sanitarians totaling 2 people (3.6%) are included in the "ready" category.</w:t>
      </w:r>
    </w:p>
    <w:p w14:paraId="3FE80CB4"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There are 4 people (7.3%) working as cleaning services. 2 respondents (50%) were in the "very ready" category and the other 2 respondents (50%) were in the "ready" category. 2 people (3.6%) work as security guards with 1 respondent (50%) in the "very ready" category and another 1 respondent (50%) in the "ready" category.</w:t>
      </w:r>
    </w:p>
    <w:p w14:paraId="443C23C4" w14:textId="77777777" w:rsidR="00555BEA" w:rsidRDefault="00555BEA" w:rsidP="0046203B">
      <w:pPr>
        <w:numPr>
          <w:ilvl w:val="0"/>
          <w:numId w:val="8"/>
        </w:numPr>
        <w:pBdr>
          <w:top w:val="nil"/>
          <w:left w:val="nil"/>
          <w:bottom w:val="nil"/>
          <w:right w:val="nil"/>
          <w:between w:val="nil"/>
        </w:pBdr>
        <w:spacing w:after="0" w:line="360" w:lineRule="auto"/>
        <w:ind w:left="567"/>
        <w:jc w:val="both"/>
        <w:rPr>
          <w:rFonts w:ascii="Garamond" w:eastAsia="Garamond" w:hAnsi="Garamond" w:cs="Garamond"/>
          <w:color w:val="000000"/>
        </w:rPr>
      </w:pPr>
      <w:r>
        <w:rPr>
          <w:rFonts w:ascii="Garamond" w:eastAsia="Garamond" w:hAnsi="Garamond" w:cs="Garamond"/>
          <w:color w:val="000000"/>
        </w:rPr>
        <w:t>Training</w:t>
      </w:r>
    </w:p>
    <w:p w14:paraId="5234EFE4" w14:textId="77777777" w:rsidR="00555BEA" w:rsidRDefault="00555BEA" w:rsidP="0046203B">
      <w:pPr>
        <w:pBdr>
          <w:top w:val="nil"/>
          <w:left w:val="nil"/>
          <w:bottom w:val="nil"/>
          <w:right w:val="nil"/>
          <w:between w:val="nil"/>
        </w:pBdr>
        <w:spacing w:after="120" w:line="360" w:lineRule="auto"/>
        <w:ind w:left="567" w:firstLine="635"/>
        <w:jc w:val="both"/>
        <w:rPr>
          <w:rFonts w:ascii="Garamond" w:eastAsia="Garamond" w:hAnsi="Garamond" w:cs="Garamond"/>
          <w:color w:val="000000"/>
        </w:rPr>
      </w:pPr>
      <w:r>
        <w:rPr>
          <w:rFonts w:ascii="Garamond" w:eastAsia="Garamond" w:hAnsi="Garamond" w:cs="Garamond"/>
          <w:color w:val="000000"/>
        </w:rPr>
        <w:t>From the table above, you can see the distribution of workforce based on fire training history. Of the 55 people, 49 people (89.1%) had attended fire-related training and 6 people (10.9%) had never attended fire-related training. Among the 49 people who had taken part in fire training, 13 respondents (26.53%) could be categorized as "very ready", 33 respondents (67.35%) in the "ready" category, 2 respondents (4.08%) in the "almost ready" category. ready”, and 1 respondent (2.04%) was in the “not ready” category. Meanwhile, of the 6 people who had never attended fire training, there were 2 respondents (33.3%) in the "very ready" category, 2 respondents (33.3%) in the "ready" category, and 2 respondents (33.3%) in the "almost ready" category. Ready".</w:t>
      </w:r>
    </w:p>
    <w:p w14:paraId="53E3E7ED" w14:textId="77777777" w:rsidR="00555BEA" w:rsidRDefault="00555BEA" w:rsidP="0046203B">
      <w:pPr>
        <w:pBdr>
          <w:top w:val="nil"/>
          <w:left w:val="nil"/>
          <w:bottom w:val="nil"/>
          <w:right w:val="nil"/>
          <w:between w:val="nil"/>
        </w:pBdr>
        <w:spacing w:after="120" w:line="360" w:lineRule="auto"/>
        <w:ind w:left="284" w:firstLine="567"/>
        <w:jc w:val="both"/>
        <w:rPr>
          <w:rFonts w:ascii="Garamond" w:eastAsia="Garamond" w:hAnsi="Garamond" w:cs="Garamond"/>
          <w:color w:val="000000"/>
        </w:rPr>
      </w:pPr>
      <w:r>
        <w:rPr>
          <w:rFonts w:ascii="Garamond" w:eastAsia="Garamond" w:hAnsi="Garamond" w:cs="Garamond"/>
          <w:color w:val="000000"/>
        </w:rPr>
        <w:t xml:space="preserve">The results of the age analysis of the workforce show that the age range of 36 - 45 years reaches the "very ready" category with the highest percentage, namely 39.13%. Age 36 – 45 years is considered late adulthood (Depker RI, 2009). In line with Nursalam (2017), younger people have relatively lower work motivation compared to older workers. This is because young workers are not yet grounded in reality, so they easily feel disappointed. As a person gets older, a person's understanding will also become higher. The level of maturity in thinking will get better. Increasing age will also increase a person's ability to make decisions, control emotions, think rationally and be tolerant of other people's opinions, which will also influence increased motivation. </w:t>
      </w:r>
    </w:p>
    <w:p w14:paraId="694550BA" w14:textId="77777777" w:rsidR="00555BEA" w:rsidRDefault="00555BEA" w:rsidP="0046203B">
      <w:pPr>
        <w:pBdr>
          <w:top w:val="nil"/>
          <w:left w:val="nil"/>
          <w:bottom w:val="nil"/>
          <w:right w:val="nil"/>
          <w:between w:val="nil"/>
        </w:pBdr>
        <w:spacing w:after="120" w:line="360" w:lineRule="auto"/>
        <w:ind w:left="284" w:firstLine="567"/>
        <w:jc w:val="both"/>
        <w:rPr>
          <w:rFonts w:ascii="Garamond" w:eastAsia="Garamond" w:hAnsi="Garamond" w:cs="Garamond"/>
          <w:color w:val="000000"/>
        </w:rPr>
      </w:pPr>
      <w:r>
        <w:rPr>
          <w:rFonts w:ascii="Garamond" w:eastAsia="Garamond" w:hAnsi="Garamond" w:cs="Garamond"/>
          <w:color w:val="000000"/>
        </w:rPr>
        <w:t xml:space="preserve">Gender differences influence the way of thinking, feeling, and acting (Ministry of Health, 2009). The results of the cross tabulation between preparedness and female gender show that there are 30% or 12 respondents in the very prepared category which is greater than that of men. </w:t>
      </w:r>
      <w:r>
        <w:rPr>
          <w:rFonts w:ascii="Garamond" w:eastAsia="Garamond" w:hAnsi="Garamond" w:cs="Garamond"/>
          <w:color w:val="000000"/>
        </w:rPr>
        <w:lastRenderedPageBreak/>
        <w:t>Gender is not the main factor in fire preparedness because there are other factors, namely knowledge and experience. This is in line with the statement that women's knowledge is better than men because their level of understanding is more mature (Doutti, 2020).</w:t>
      </w:r>
    </w:p>
    <w:p w14:paraId="2336E369" w14:textId="77777777" w:rsidR="00555BEA" w:rsidRDefault="00555BEA" w:rsidP="0046203B">
      <w:pPr>
        <w:pBdr>
          <w:top w:val="nil"/>
          <w:left w:val="nil"/>
          <w:bottom w:val="nil"/>
          <w:right w:val="nil"/>
          <w:between w:val="nil"/>
        </w:pBdr>
        <w:spacing w:after="120" w:line="360" w:lineRule="auto"/>
        <w:ind w:left="284" w:firstLine="567"/>
        <w:jc w:val="both"/>
        <w:rPr>
          <w:rFonts w:ascii="Garamond" w:eastAsia="Garamond" w:hAnsi="Garamond" w:cs="Garamond"/>
          <w:color w:val="000000"/>
        </w:rPr>
      </w:pPr>
      <w:r>
        <w:rPr>
          <w:rFonts w:ascii="Garamond" w:eastAsia="Garamond" w:hAnsi="Garamond" w:cs="Garamond"/>
          <w:color w:val="000000"/>
        </w:rPr>
        <w:t xml:space="preserve">The distribution of workforce preparedness based on education level is included in the "very prepared" category with the highest percentage being junior high school education level with 1 person (50%) and D4 with 3 people (50%). There are 2 workers who are junior high school graduates, namely cleaning service professions. Cleaning services tend to have more experience in the field. </w:t>
      </w:r>
    </w:p>
    <w:p w14:paraId="0BBF05F2" w14:textId="77777777" w:rsidR="00555BEA" w:rsidRDefault="00555BEA" w:rsidP="0046203B">
      <w:pPr>
        <w:pBdr>
          <w:top w:val="nil"/>
          <w:left w:val="nil"/>
          <w:bottom w:val="nil"/>
          <w:right w:val="nil"/>
          <w:between w:val="nil"/>
        </w:pBdr>
        <w:spacing w:after="120" w:line="360" w:lineRule="auto"/>
        <w:ind w:left="284" w:firstLine="567"/>
        <w:jc w:val="both"/>
        <w:rPr>
          <w:rFonts w:ascii="Garamond" w:eastAsia="Garamond" w:hAnsi="Garamond" w:cs="Garamond"/>
          <w:color w:val="000000"/>
        </w:rPr>
      </w:pPr>
      <w:r>
        <w:rPr>
          <w:rFonts w:ascii="Garamond" w:eastAsia="Garamond" w:hAnsi="Garamond" w:cs="Garamond"/>
          <w:color w:val="000000"/>
        </w:rPr>
        <w:t xml:space="preserve">Education does not affect a person's preparedness. The work environment is able to provide knowledge or experience to someone, either directly or indirectly, which influences the process of receiving knowledge ((Mubarak (2011) in Khairunnisa Z (2021)). </w:t>
      </w:r>
    </w:p>
    <w:p w14:paraId="3A53BD60" w14:textId="77777777" w:rsidR="00555BEA" w:rsidRDefault="00555BEA" w:rsidP="0046203B">
      <w:pPr>
        <w:pBdr>
          <w:top w:val="nil"/>
          <w:left w:val="nil"/>
          <w:bottom w:val="nil"/>
          <w:right w:val="nil"/>
          <w:between w:val="nil"/>
        </w:pBdr>
        <w:spacing w:after="120" w:line="360" w:lineRule="auto"/>
        <w:ind w:left="284" w:firstLine="567"/>
        <w:jc w:val="both"/>
        <w:rPr>
          <w:rFonts w:ascii="Garamond" w:eastAsia="Garamond" w:hAnsi="Garamond" w:cs="Garamond"/>
          <w:color w:val="000000"/>
        </w:rPr>
      </w:pPr>
      <w:r>
        <w:rPr>
          <w:rFonts w:ascii="Garamond" w:eastAsia="Garamond" w:hAnsi="Garamond" w:cs="Garamond"/>
          <w:color w:val="000000"/>
        </w:rPr>
        <w:t xml:space="preserve">The highest percentage of workforce professions at the Dinoyo Health Center in the "very prepared" category are ATLM, midwives, cleaning services and security guards. The majority of professions at the Dinoyo Health Center are midwives, 12 people (21.8%) with 6 of them in the "very prepared" category. Each profession has its own duties and roles. Each profession also has its own potential dangers. So preparedness is needed, especially in dealing with fires. Fire hazards such as chemicals, electricity, sparks, and other hazards that can cause fire. </w:t>
      </w:r>
    </w:p>
    <w:p w14:paraId="3994E903" w14:textId="77777777" w:rsidR="00555BEA" w:rsidRDefault="00555BEA" w:rsidP="0046203B">
      <w:pPr>
        <w:pBdr>
          <w:top w:val="nil"/>
          <w:left w:val="nil"/>
          <w:bottom w:val="nil"/>
          <w:right w:val="nil"/>
          <w:between w:val="nil"/>
        </w:pBdr>
        <w:spacing w:after="120" w:line="360" w:lineRule="auto"/>
        <w:ind w:left="284" w:firstLine="567"/>
        <w:jc w:val="both"/>
        <w:rPr>
          <w:rFonts w:ascii="Garamond" w:eastAsia="Garamond" w:hAnsi="Garamond" w:cs="Garamond"/>
          <w:color w:val="000000"/>
        </w:rPr>
      </w:pPr>
      <w:r>
        <w:rPr>
          <w:rFonts w:ascii="Garamond" w:eastAsia="Garamond" w:hAnsi="Garamond" w:cs="Garamond"/>
          <w:color w:val="000000"/>
        </w:rPr>
        <w:t xml:space="preserve">Lawrence Green's theory that training can be a strengthening factor for someone to carry out an action (Notoatmojo, 2010 in Zahra Nurdina Fitriani et al, 2019). Experience can influence a person's preparedness. Experience can improve a person's thinking ability in carrying out their responsibilities (Telafiani, 2014). A person must increase their experience through training so that they are able to make decisions during an emergency (Pribadi, 2009). Training can influence a person's way of thinking. The more training, the better the preparedness. </w:t>
      </w:r>
    </w:p>
    <w:p w14:paraId="20BBE977" w14:textId="77777777" w:rsidR="00555BEA" w:rsidRDefault="00555BEA" w:rsidP="0046203B">
      <w:pPr>
        <w:pBdr>
          <w:top w:val="nil"/>
          <w:left w:val="nil"/>
          <w:bottom w:val="nil"/>
          <w:right w:val="nil"/>
          <w:between w:val="nil"/>
        </w:pBdr>
        <w:spacing w:after="120" w:line="360" w:lineRule="auto"/>
        <w:ind w:left="284" w:firstLine="567"/>
        <w:jc w:val="both"/>
        <w:rPr>
          <w:rFonts w:ascii="Garamond" w:eastAsia="Garamond" w:hAnsi="Garamond" w:cs="Garamond"/>
          <w:color w:val="000000"/>
        </w:rPr>
      </w:pPr>
      <w:r>
        <w:rPr>
          <w:rFonts w:ascii="Garamond" w:eastAsia="Garamond" w:hAnsi="Garamond" w:cs="Garamond"/>
          <w:color w:val="000000"/>
        </w:rPr>
        <w:t>The distribution of respondents based on participation in training included 2 people who had not participated in the training but were in the "very ready" category. This percentage is higher compared to workers who have attended training (33.3% &gt; 26.53%). Both people are in the age range of 36 – 45 years (late adulthood). The knowledge and experience gained regarding fire management is influenced by a person's age.</w:t>
      </w:r>
    </w:p>
    <w:p w14:paraId="63F837BF" w14:textId="77777777" w:rsidR="00555BEA" w:rsidRPr="00B725FC" w:rsidRDefault="00555BEA" w:rsidP="005A4A75">
      <w:pPr>
        <w:numPr>
          <w:ilvl w:val="0"/>
          <w:numId w:val="7"/>
        </w:numPr>
        <w:pBdr>
          <w:top w:val="nil"/>
          <w:left w:val="nil"/>
          <w:bottom w:val="nil"/>
          <w:right w:val="nil"/>
          <w:between w:val="nil"/>
        </w:pBdr>
        <w:spacing w:after="0" w:line="360" w:lineRule="auto"/>
        <w:ind w:left="284" w:hanging="284"/>
        <w:jc w:val="both"/>
        <w:rPr>
          <w:rFonts w:ascii="Garamond" w:eastAsia="Garamond" w:hAnsi="Garamond" w:cs="Garamond"/>
          <w:bCs/>
          <w:color w:val="000000"/>
        </w:rPr>
      </w:pPr>
      <w:r w:rsidRPr="00B725FC">
        <w:rPr>
          <w:rFonts w:ascii="Garamond" w:eastAsia="Garamond" w:hAnsi="Garamond" w:cs="Garamond"/>
          <w:bCs/>
          <w:color w:val="000000"/>
        </w:rPr>
        <w:t>Knowledge</w:t>
      </w:r>
    </w:p>
    <w:p w14:paraId="447F7919" w14:textId="77777777" w:rsidR="00555BEA" w:rsidRDefault="00555BEA" w:rsidP="005A4A75">
      <w:pPr>
        <w:keepNext/>
        <w:pBdr>
          <w:top w:val="nil"/>
          <w:left w:val="nil"/>
          <w:bottom w:val="nil"/>
          <w:right w:val="nil"/>
          <w:between w:val="nil"/>
        </w:pBdr>
        <w:spacing w:after="0" w:line="360" w:lineRule="auto"/>
        <w:rPr>
          <w:rFonts w:ascii="Garamond" w:eastAsia="Garamond" w:hAnsi="Garamond" w:cs="Garamond"/>
          <w:color w:val="000000"/>
        </w:rPr>
      </w:pPr>
      <w:r w:rsidRPr="00B725FC">
        <w:rPr>
          <w:rFonts w:ascii="Garamond" w:eastAsia="Garamond" w:hAnsi="Garamond" w:cs="Garamond"/>
          <w:b/>
          <w:bCs/>
          <w:color w:val="000000"/>
        </w:rPr>
        <w:t>Table 3</w:t>
      </w:r>
      <w:r>
        <w:rPr>
          <w:rFonts w:ascii="Garamond" w:eastAsia="Garamond" w:hAnsi="Garamond" w:cs="Garamond"/>
          <w:color w:val="000000"/>
        </w:rPr>
        <w:t>. Distribution of Respondents Based on Level of Knowledge</w:t>
      </w:r>
    </w:p>
    <w:tbl>
      <w:tblPr>
        <w:tblStyle w:val="PlainTable2"/>
        <w:tblW w:w="850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37"/>
        <w:gridCol w:w="2731"/>
        <w:gridCol w:w="3537"/>
      </w:tblGrid>
      <w:tr w:rsidR="00F12C92" w:rsidRPr="00216F9C" w14:paraId="173C3709" w14:textId="77777777" w:rsidTr="00FC16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7" w:type="dxa"/>
          </w:tcPr>
          <w:p w14:paraId="69557E55" w14:textId="77777777" w:rsidR="00555BEA" w:rsidRPr="00216F9C" w:rsidRDefault="00555BEA" w:rsidP="005A4A75">
            <w:pPr>
              <w:pBdr>
                <w:top w:val="nil"/>
                <w:left w:val="nil"/>
                <w:bottom w:val="nil"/>
                <w:right w:val="nil"/>
                <w:between w:val="nil"/>
              </w:pBdr>
              <w:spacing w:after="0" w:line="360" w:lineRule="auto"/>
              <w:jc w:val="center"/>
              <w:rPr>
                <w:rFonts w:ascii="Garamond" w:eastAsia="Garamond" w:hAnsi="Garamond" w:cs="Garamond"/>
                <w:b w:val="0"/>
                <w:color w:val="000000"/>
              </w:rPr>
            </w:pPr>
            <w:r w:rsidRPr="00216F9C">
              <w:rPr>
                <w:rFonts w:ascii="Garamond" w:eastAsia="Garamond" w:hAnsi="Garamond" w:cs="Garamond"/>
                <w:b w:val="0"/>
                <w:color w:val="000000"/>
              </w:rPr>
              <w:t>Knowledge</w:t>
            </w:r>
          </w:p>
        </w:tc>
        <w:tc>
          <w:tcPr>
            <w:tcW w:w="2731" w:type="dxa"/>
          </w:tcPr>
          <w:p w14:paraId="0FDC834F" w14:textId="77777777" w:rsidR="00555BEA" w:rsidRPr="00216F9C" w:rsidRDefault="00555BEA" w:rsidP="005A4A75">
            <w:pPr>
              <w:pBdr>
                <w:top w:val="nil"/>
                <w:left w:val="nil"/>
                <w:bottom w:val="nil"/>
                <w:right w:val="nil"/>
                <w:between w:val="nil"/>
              </w:pBd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216F9C">
              <w:rPr>
                <w:rFonts w:ascii="Garamond" w:eastAsia="Garamond" w:hAnsi="Garamond" w:cs="Garamond"/>
                <w:b w:val="0"/>
                <w:color w:val="000000"/>
              </w:rPr>
              <w:t>Frequency</w:t>
            </w:r>
          </w:p>
        </w:tc>
        <w:tc>
          <w:tcPr>
            <w:tcW w:w="3537" w:type="dxa"/>
          </w:tcPr>
          <w:p w14:paraId="19A62DEA" w14:textId="77777777" w:rsidR="00555BEA" w:rsidRPr="00216F9C" w:rsidRDefault="00555BEA" w:rsidP="005A4A75">
            <w:pPr>
              <w:pBdr>
                <w:top w:val="nil"/>
                <w:left w:val="nil"/>
                <w:bottom w:val="nil"/>
                <w:right w:val="nil"/>
                <w:between w:val="nil"/>
              </w:pBd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216F9C">
              <w:rPr>
                <w:rFonts w:ascii="Garamond" w:eastAsia="Garamond" w:hAnsi="Garamond" w:cs="Garamond"/>
                <w:b w:val="0"/>
                <w:color w:val="000000"/>
              </w:rPr>
              <w:t>Percentage (%)</w:t>
            </w:r>
          </w:p>
        </w:tc>
      </w:tr>
      <w:tr w:rsidR="00F12C92" w:rsidRPr="00216F9C" w14:paraId="2A09E581"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7" w:type="dxa"/>
          </w:tcPr>
          <w:p w14:paraId="7C18239E" w14:textId="77777777" w:rsidR="00555BEA" w:rsidRPr="00216F9C" w:rsidRDefault="00555BEA" w:rsidP="005A4A75">
            <w:pPr>
              <w:pBdr>
                <w:top w:val="nil"/>
                <w:left w:val="nil"/>
                <w:bottom w:val="nil"/>
                <w:right w:val="nil"/>
                <w:between w:val="nil"/>
              </w:pBdr>
              <w:spacing w:after="0" w:line="360" w:lineRule="auto"/>
              <w:jc w:val="center"/>
              <w:rPr>
                <w:rFonts w:ascii="Garamond" w:eastAsia="Garamond" w:hAnsi="Garamond" w:cs="Garamond"/>
                <w:b w:val="0"/>
                <w:color w:val="000000"/>
              </w:rPr>
            </w:pPr>
            <w:r w:rsidRPr="00216F9C">
              <w:rPr>
                <w:rFonts w:ascii="Garamond" w:eastAsia="Garamond" w:hAnsi="Garamond" w:cs="Garamond"/>
                <w:b w:val="0"/>
                <w:color w:val="000000"/>
              </w:rPr>
              <w:t>Good</w:t>
            </w:r>
          </w:p>
        </w:tc>
        <w:tc>
          <w:tcPr>
            <w:tcW w:w="2731" w:type="dxa"/>
          </w:tcPr>
          <w:p w14:paraId="451B4BF3" w14:textId="77777777" w:rsidR="00555BEA" w:rsidRPr="00216F9C" w:rsidRDefault="00555BEA" w:rsidP="005A4A75">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c>
          <w:tcPr>
            <w:tcW w:w="3537" w:type="dxa"/>
          </w:tcPr>
          <w:p w14:paraId="433D8451" w14:textId="77777777" w:rsidR="00555BEA" w:rsidRPr="00216F9C" w:rsidRDefault="00555BEA" w:rsidP="005A4A75">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16.36</w:t>
            </w:r>
          </w:p>
        </w:tc>
      </w:tr>
      <w:tr w:rsidR="00555BEA" w:rsidRPr="00216F9C" w14:paraId="0C608E49"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2237" w:type="dxa"/>
          </w:tcPr>
          <w:p w14:paraId="58B643AE" w14:textId="77777777" w:rsidR="00555BEA" w:rsidRPr="00216F9C" w:rsidRDefault="00555BEA" w:rsidP="005A4A75">
            <w:pPr>
              <w:pBdr>
                <w:top w:val="nil"/>
                <w:left w:val="nil"/>
                <w:bottom w:val="nil"/>
                <w:right w:val="nil"/>
                <w:between w:val="nil"/>
              </w:pBdr>
              <w:spacing w:after="0" w:line="360" w:lineRule="auto"/>
              <w:jc w:val="center"/>
              <w:rPr>
                <w:rFonts w:ascii="Garamond" w:eastAsia="Garamond" w:hAnsi="Garamond" w:cs="Garamond"/>
                <w:b w:val="0"/>
                <w:color w:val="000000"/>
              </w:rPr>
            </w:pPr>
            <w:r w:rsidRPr="00216F9C">
              <w:rPr>
                <w:rFonts w:ascii="Garamond" w:eastAsia="Garamond" w:hAnsi="Garamond" w:cs="Garamond"/>
                <w:b w:val="0"/>
                <w:color w:val="000000"/>
              </w:rPr>
              <w:t>Enough</w:t>
            </w:r>
          </w:p>
        </w:tc>
        <w:tc>
          <w:tcPr>
            <w:tcW w:w="2731" w:type="dxa"/>
          </w:tcPr>
          <w:p w14:paraId="634F3E6E" w14:textId="77777777" w:rsidR="00555BEA" w:rsidRPr="00216F9C" w:rsidRDefault="00555BEA" w:rsidP="005A4A75">
            <w:pPr>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24</w:t>
            </w:r>
          </w:p>
        </w:tc>
        <w:tc>
          <w:tcPr>
            <w:tcW w:w="3537" w:type="dxa"/>
          </w:tcPr>
          <w:p w14:paraId="721AE217" w14:textId="77777777" w:rsidR="00555BEA" w:rsidRPr="00216F9C" w:rsidRDefault="00555BEA" w:rsidP="005A4A75">
            <w:pPr>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43.64</w:t>
            </w:r>
          </w:p>
        </w:tc>
      </w:tr>
      <w:tr w:rsidR="00F12C92" w:rsidRPr="00216F9C" w14:paraId="74265213"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7" w:type="dxa"/>
          </w:tcPr>
          <w:p w14:paraId="6F3F38CB" w14:textId="77777777" w:rsidR="00555BEA" w:rsidRPr="00216F9C" w:rsidRDefault="00555BEA" w:rsidP="005A4A75">
            <w:pPr>
              <w:pBdr>
                <w:top w:val="nil"/>
                <w:left w:val="nil"/>
                <w:bottom w:val="nil"/>
                <w:right w:val="nil"/>
                <w:between w:val="nil"/>
              </w:pBdr>
              <w:spacing w:after="0" w:line="360" w:lineRule="auto"/>
              <w:jc w:val="center"/>
              <w:rPr>
                <w:rFonts w:ascii="Garamond" w:eastAsia="Garamond" w:hAnsi="Garamond" w:cs="Garamond"/>
                <w:b w:val="0"/>
                <w:color w:val="000000"/>
              </w:rPr>
            </w:pPr>
            <w:r w:rsidRPr="00216F9C">
              <w:rPr>
                <w:rFonts w:ascii="Garamond" w:eastAsia="Garamond" w:hAnsi="Garamond" w:cs="Garamond"/>
                <w:b w:val="0"/>
                <w:color w:val="000000"/>
              </w:rPr>
              <w:t>Not enough</w:t>
            </w:r>
          </w:p>
        </w:tc>
        <w:tc>
          <w:tcPr>
            <w:tcW w:w="2731" w:type="dxa"/>
          </w:tcPr>
          <w:p w14:paraId="6772BF60" w14:textId="77777777" w:rsidR="00555BEA" w:rsidRPr="00216F9C" w:rsidRDefault="00555BEA" w:rsidP="005A4A75">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22</w:t>
            </w:r>
          </w:p>
        </w:tc>
        <w:tc>
          <w:tcPr>
            <w:tcW w:w="3537" w:type="dxa"/>
          </w:tcPr>
          <w:p w14:paraId="3824BAFD" w14:textId="77777777" w:rsidR="00555BEA" w:rsidRPr="00216F9C" w:rsidRDefault="00555BEA" w:rsidP="005A4A75">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40</w:t>
            </w:r>
          </w:p>
        </w:tc>
      </w:tr>
      <w:tr w:rsidR="00555BEA" w:rsidRPr="00216F9C" w14:paraId="21A0A135"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2237" w:type="dxa"/>
          </w:tcPr>
          <w:p w14:paraId="7D279EC1" w14:textId="77777777" w:rsidR="00555BEA" w:rsidRPr="00216F9C" w:rsidRDefault="00555BEA" w:rsidP="005A4A75">
            <w:pPr>
              <w:pBdr>
                <w:top w:val="nil"/>
                <w:left w:val="nil"/>
                <w:bottom w:val="nil"/>
                <w:right w:val="nil"/>
                <w:between w:val="nil"/>
              </w:pBdr>
              <w:spacing w:after="0" w:line="360" w:lineRule="auto"/>
              <w:jc w:val="center"/>
              <w:rPr>
                <w:rFonts w:ascii="Garamond" w:eastAsia="Garamond" w:hAnsi="Garamond" w:cs="Garamond"/>
                <w:b w:val="0"/>
                <w:color w:val="000000"/>
              </w:rPr>
            </w:pPr>
            <w:r w:rsidRPr="00216F9C">
              <w:rPr>
                <w:rFonts w:ascii="Garamond" w:eastAsia="Garamond" w:hAnsi="Garamond" w:cs="Garamond"/>
                <w:b w:val="0"/>
                <w:color w:val="000000"/>
              </w:rPr>
              <w:t>Total</w:t>
            </w:r>
          </w:p>
        </w:tc>
        <w:tc>
          <w:tcPr>
            <w:tcW w:w="2731" w:type="dxa"/>
          </w:tcPr>
          <w:p w14:paraId="74025C0E" w14:textId="77777777" w:rsidR="00555BEA" w:rsidRPr="00216F9C" w:rsidRDefault="00555BEA" w:rsidP="005A4A75">
            <w:pPr>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55</w:t>
            </w:r>
          </w:p>
        </w:tc>
        <w:tc>
          <w:tcPr>
            <w:tcW w:w="3537" w:type="dxa"/>
          </w:tcPr>
          <w:p w14:paraId="19926E5D" w14:textId="77777777" w:rsidR="00555BEA" w:rsidRPr="00216F9C" w:rsidRDefault="00555BEA" w:rsidP="005A4A75">
            <w:pPr>
              <w:keepNext/>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100</w:t>
            </w:r>
          </w:p>
        </w:tc>
      </w:tr>
    </w:tbl>
    <w:p w14:paraId="2A55234E" w14:textId="230DA479" w:rsidR="00555BEA" w:rsidRDefault="00555BEA" w:rsidP="005A4A75">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lastRenderedPageBreak/>
        <w:t>The table above shows the results of the knowledge analysis of fire management at the Dinoyo Community Health Center. It can be seen that of the 55 respondents, 9 people (16.36%) had good knowledge, 24 people (43.65%) had sufficient knowledge, and 22 people (40%) had poor knowledge.</w:t>
      </w:r>
    </w:p>
    <w:p w14:paraId="1F3831E4" w14:textId="7739C36C" w:rsidR="00555BEA" w:rsidRDefault="00555BEA" w:rsidP="005A4A75">
      <w:pPr>
        <w:keepNext/>
        <w:pBdr>
          <w:top w:val="nil"/>
          <w:left w:val="nil"/>
          <w:bottom w:val="nil"/>
          <w:right w:val="nil"/>
          <w:between w:val="nil"/>
        </w:pBdr>
        <w:spacing w:after="0" w:line="360" w:lineRule="auto"/>
        <w:rPr>
          <w:rFonts w:ascii="Garamond" w:eastAsia="Garamond" w:hAnsi="Garamond" w:cs="Garamond"/>
          <w:color w:val="000000"/>
        </w:rPr>
      </w:pPr>
      <w:r w:rsidRPr="00216F9C">
        <w:rPr>
          <w:rFonts w:ascii="Garamond" w:eastAsia="Garamond" w:hAnsi="Garamond" w:cs="Garamond"/>
          <w:b/>
          <w:bCs/>
          <w:color w:val="000000"/>
        </w:rPr>
        <w:t>Table 4.</w:t>
      </w:r>
      <w:r>
        <w:rPr>
          <w:rFonts w:ascii="Garamond" w:eastAsia="Garamond" w:hAnsi="Garamond" w:cs="Garamond"/>
          <w:color w:val="000000"/>
        </w:rPr>
        <w:t xml:space="preserve"> Distribution of Respondents Based on Level of Knowledge of Characteristics</w:t>
      </w:r>
    </w:p>
    <w:tbl>
      <w:tblPr>
        <w:tblStyle w:val="PlainTable2"/>
        <w:tblW w:w="8506" w:type="dxa"/>
        <w:jc w:val="righ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29"/>
        <w:gridCol w:w="993"/>
        <w:gridCol w:w="2278"/>
        <w:gridCol w:w="992"/>
        <w:gridCol w:w="993"/>
        <w:gridCol w:w="1138"/>
        <w:gridCol w:w="983"/>
      </w:tblGrid>
      <w:tr w:rsidR="00D363F8" w:rsidRPr="00216F9C" w14:paraId="1C661DC2" w14:textId="77777777" w:rsidTr="00FC1696">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val="restart"/>
            <w:tcBorders>
              <w:bottom w:val="none" w:sz="0" w:space="0" w:color="auto"/>
            </w:tcBorders>
            <w:vAlign w:val="center"/>
          </w:tcPr>
          <w:p w14:paraId="49DEC767" w14:textId="77777777" w:rsidR="00555BEA" w:rsidRPr="00216F9C" w:rsidRDefault="00555BEA" w:rsidP="00EE23A6">
            <w:pPr>
              <w:pBdr>
                <w:top w:val="nil"/>
                <w:left w:val="nil"/>
                <w:bottom w:val="nil"/>
                <w:right w:val="nil"/>
                <w:between w:val="nil"/>
              </w:pBdr>
              <w:jc w:val="center"/>
              <w:rPr>
                <w:rFonts w:ascii="Garamond" w:eastAsia="Garamond" w:hAnsi="Garamond" w:cs="Garamond"/>
                <w:b w:val="0"/>
                <w:color w:val="000000"/>
              </w:rPr>
            </w:pPr>
            <w:r w:rsidRPr="00216F9C">
              <w:rPr>
                <w:rFonts w:ascii="Garamond" w:eastAsia="Garamond" w:hAnsi="Garamond" w:cs="Garamond"/>
                <w:b w:val="0"/>
                <w:color w:val="000000"/>
              </w:rPr>
              <w:t>No</w:t>
            </w:r>
          </w:p>
        </w:tc>
        <w:tc>
          <w:tcPr>
            <w:tcW w:w="3271" w:type="dxa"/>
            <w:gridSpan w:val="2"/>
            <w:vMerge w:val="restart"/>
            <w:tcBorders>
              <w:bottom w:val="none" w:sz="0" w:space="0" w:color="auto"/>
            </w:tcBorders>
            <w:vAlign w:val="center"/>
          </w:tcPr>
          <w:p w14:paraId="02949084" w14:textId="77777777" w:rsidR="00555BEA" w:rsidRPr="00216F9C" w:rsidRDefault="00555BEA" w:rsidP="00EE23A6">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216F9C">
              <w:rPr>
                <w:rFonts w:ascii="Garamond" w:eastAsia="Garamond" w:hAnsi="Garamond" w:cs="Garamond"/>
                <w:b w:val="0"/>
                <w:color w:val="000000"/>
              </w:rPr>
              <w:t>Characteristics</w:t>
            </w:r>
          </w:p>
        </w:tc>
        <w:tc>
          <w:tcPr>
            <w:tcW w:w="3123" w:type="dxa"/>
            <w:gridSpan w:val="3"/>
            <w:tcBorders>
              <w:bottom w:val="none" w:sz="0" w:space="0" w:color="auto"/>
            </w:tcBorders>
            <w:vAlign w:val="center"/>
          </w:tcPr>
          <w:p w14:paraId="1878C01E" w14:textId="77777777" w:rsidR="00555BEA" w:rsidRPr="00216F9C" w:rsidRDefault="00555BEA" w:rsidP="00EE23A6">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216F9C">
              <w:rPr>
                <w:rFonts w:ascii="Garamond" w:eastAsia="Garamond" w:hAnsi="Garamond" w:cs="Garamond"/>
                <w:b w:val="0"/>
                <w:color w:val="000000"/>
              </w:rPr>
              <w:t>Knowledge Level</w:t>
            </w:r>
          </w:p>
        </w:tc>
        <w:tc>
          <w:tcPr>
            <w:tcW w:w="983" w:type="dxa"/>
            <w:vMerge w:val="restart"/>
            <w:tcBorders>
              <w:bottom w:val="none" w:sz="0" w:space="0" w:color="auto"/>
            </w:tcBorders>
            <w:vAlign w:val="center"/>
          </w:tcPr>
          <w:p w14:paraId="6B6F0029" w14:textId="77777777" w:rsidR="00555BEA" w:rsidRPr="00216F9C" w:rsidRDefault="00555BEA" w:rsidP="00EE23A6">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216F9C">
              <w:rPr>
                <w:rFonts w:ascii="Garamond" w:eastAsia="Garamond" w:hAnsi="Garamond" w:cs="Garamond"/>
                <w:b w:val="0"/>
                <w:color w:val="000000"/>
              </w:rPr>
              <w:t>Total</w:t>
            </w:r>
          </w:p>
        </w:tc>
      </w:tr>
      <w:tr w:rsidR="00D363F8" w:rsidRPr="00216F9C" w14:paraId="03A4CD5B"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14904E81"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3271" w:type="dxa"/>
            <w:gridSpan w:val="2"/>
            <w:vMerge/>
            <w:tcBorders>
              <w:top w:val="none" w:sz="0" w:space="0" w:color="auto"/>
              <w:bottom w:val="none" w:sz="0" w:space="0" w:color="auto"/>
            </w:tcBorders>
            <w:vAlign w:val="center"/>
          </w:tcPr>
          <w:p w14:paraId="7F207916"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992" w:type="dxa"/>
            <w:tcBorders>
              <w:top w:val="none" w:sz="0" w:space="0" w:color="auto"/>
              <w:bottom w:val="none" w:sz="0" w:space="0" w:color="auto"/>
            </w:tcBorders>
            <w:vAlign w:val="center"/>
          </w:tcPr>
          <w:p w14:paraId="1BD2331C"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Good</w:t>
            </w:r>
          </w:p>
        </w:tc>
        <w:tc>
          <w:tcPr>
            <w:tcW w:w="993" w:type="dxa"/>
            <w:tcBorders>
              <w:top w:val="none" w:sz="0" w:space="0" w:color="auto"/>
              <w:bottom w:val="none" w:sz="0" w:space="0" w:color="auto"/>
            </w:tcBorders>
            <w:vAlign w:val="center"/>
          </w:tcPr>
          <w:p w14:paraId="69FF8539"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Enough</w:t>
            </w:r>
          </w:p>
        </w:tc>
        <w:tc>
          <w:tcPr>
            <w:tcW w:w="1138" w:type="dxa"/>
            <w:tcBorders>
              <w:top w:val="none" w:sz="0" w:space="0" w:color="auto"/>
              <w:bottom w:val="none" w:sz="0" w:space="0" w:color="auto"/>
            </w:tcBorders>
            <w:vAlign w:val="center"/>
          </w:tcPr>
          <w:p w14:paraId="0AA6C390"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Not Enough</w:t>
            </w:r>
          </w:p>
        </w:tc>
        <w:tc>
          <w:tcPr>
            <w:tcW w:w="983" w:type="dxa"/>
            <w:vMerge/>
            <w:tcBorders>
              <w:top w:val="none" w:sz="0" w:space="0" w:color="auto"/>
              <w:bottom w:val="none" w:sz="0" w:space="0" w:color="auto"/>
            </w:tcBorders>
            <w:vAlign w:val="center"/>
          </w:tcPr>
          <w:p w14:paraId="3AA91559"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r>
      <w:tr w:rsidR="00D363F8" w:rsidRPr="00216F9C" w14:paraId="6940134C"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14:paraId="6466BD40" w14:textId="77777777" w:rsidR="00555BEA" w:rsidRPr="00216F9C" w:rsidRDefault="00555BEA" w:rsidP="00EE23A6">
            <w:pPr>
              <w:pBdr>
                <w:top w:val="nil"/>
                <w:left w:val="nil"/>
                <w:bottom w:val="nil"/>
                <w:right w:val="nil"/>
                <w:between w:val="nil"/>
              </w:pBdr>
              <w:jc w:val="center"/>
              <w:rPr>
                <w:rFonts w:ascii="Garamond" w:eastAsia="Garamond" w:hAnsi="Garamond" w:cs="Garamond"/>
                <w:b w:val="0"/>
                <w:color w:val="000000"/>
              </w:rPr>
            </w:pPr>
            <w:r w:rsidRPr="00216F9C">
              <w:rPr>
                <w:rFonts w:ascii="Garamond" w:eastAsia="Garamond" w:hAnsi="Garamond" w:cs="Garamond"/>
                <w:b w:val="0"/>
                <w:color w:val="000000"/>
              </w:rPr>
              <w:t>1</w:t>
            </w:r>
          </w:p>
        </w:tc>
        <w:tc>
          <w:tcPr>
            <w:tcW w:w="993" w:type="dxa"/>
            <w:vMerge w:val="restart"/>
            <w:vAlign w:val="center"/>
          </w:tcPr>
          <w:p w14:paraId="54772BFF"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Gender</w:t>
            </w:r>
          </w:p>
        </w:tc>
        <w:tc>
          <w:tcPr>
            <w:tcW w:w="2278" w:type="dxa"/>
            <w:vAlign w:val="center"/>
          </w:tcPr>
          <w:p w14:paraId="7ADFB71D"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Man</w:t>
            </w:r>
          </w:p>
        </w:tc>
        <w:tc>
          <w:tcPr>
            <w:tcW w:w="992" w:type="dxa"/>
          </w:tcPr>
          <w:p w14:paraId="7380DFCC"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32169683"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8</w:t>
            </w:r>
          </w:p>
        </w:tc>
        <w:tc>
          <w:tcPr>
            <w:tcW w:w="1138" w:type="dxa"/>
          </w:tcPr>
          <w:p w14:paraId="2798EDBE"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7</w:t>
            </w:r>
          </w:p>
        </w:tc>
        <w:tc>
          <w:tcPr>
            <w:tcW w:w="983" w:type="dxa"/>
          </w:tcPr>
          <w:p w14:paraId="30E556CF"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15</w:t>
            </w:r>
          </w:p>
        </w:tc>
      </w:tr>
      <w:tr w:rsidR="00D363F8" w:rsidRPr="00216F9C" w14:paraId="272AC5FF"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5A312B1E"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2B4FF5F1"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359AE270"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Woman</w:t>
            </w:r>
          </w:p>
        </w:tc>
        <w:tc>
          <w:tcPr>
            <w:tcW w:w="992" w:type="dxa"/>
            <w:tcBorders>
              <w:top w:val="none" w:sz="0" w:space="0" w:color="auto"/>
              <w:bottom w:val="none" w:sz="0" w:space="0" w:color="auto"/>
            </w:tcBorders>
          </w:tcPr>
          <w:p w14:paraId="11EDABE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c>
          <w:tcPr>
            <w:tcW w:w="993" w:type="dxa"/>
            <w:tcBorders>
              <w:top w:val="none" w:sz="0" w:space="0" w:color="auto"/>
              <w:bottom w:val="none" w:sz="0" w:space="0" w:color="auto"/>
            </w:tcBorders>
          </w:tcPr>
          <w:p w14:paraId="65E8356C"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16</w:t>
            </w:r>
          </w:p>
        </w:tc>
        <w:tc>
          <w:tcPr>
            <w:tcW w:w="1138" w:type="dxa"/>
            <w:tcBorders>
              <w:top w:val="none" w:sz="0" w:space="0" w:color="auto"/>
              <w:bottom w:val="none" w:sz="0" w:space="0" w:color="auto"/>
            </w:tcBorders>
          </w:tcPr>
          <w:p w14:paraId="18566A2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15</w:t>
            </w:r>
          </w:p>
        </w:tc>
        <w:tc>
          <w:tcPr>
            <w:tcW w:w="983" w:type="dxa"/>
            <w:tcBorders>
              <w:top w:val="none" w:sz="0" w:space="0" w:color="auto"/>
              <w:bottom w:val="none" w:sz="0" w:space="0" w:color="auto"/>
            </w:tcBorders>
          </w:tcPr>
          <w:p w14:paraId="4632D539"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40</w:t>
            </w:r>
          </w:p>
        </w:tc>
      </w:tr>
      <w:tr w:rsidR="00D363F8" w:rsidRPr="00216F9C" w14:paraId="5DC4D476"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tcPr>
          <w:p w14:paraId="2EFA9CC2" w14:textId="77777777" w:rsidR="00555BEA" w:rsidRPr="00216F9C" w:rsidRDefault="00555BEA" w:rsidP="00EE23A6">
            <w:pPr>
              <w:pBdr>
                <w:top w:val="nil"/>
                <w:left w:val="nil"/>
                <w:bottom w:val="nil"/>
                <w:right w:val="nil"/>
                <w:between w:val="nil"/>
              </w:pBdr>
              <w:jc w:val="center"/>
              <w:rPr>
                <w:rFonts w:ascii="Garamond" w:eastAsia="Garamond" w:hAnsi="Garamond" w:cs="Garamond"/>
                <w:b w:val="0"/>
                <w:color w:val="000000"/>
              </w:rPr>
            </w:pPr>
            <w:r w:rsidRPr="00216F9C">
              <w:rPr>
                <w:rFonts w:ascii="Garamond" w:eastAsia="Garamond" w:hAnsi="Garamond" w:cs="Garamond"/>
                <w:b w:val="0"/>
                <w:color w:val="000000"/>
              </w:rPr>
              <w:t>2</w:t>
            </w:r>
          </w:p>
        </w:tc>
        <w:tc>
          <w:tcPr>
            <w:tcW w:w="993" w:type="dxa"/>
            <w:vMerge w:val="restart"/>
            <w:vAlign w:val="center"/>
          </w:tcPr>
          <w:p w14:paraId="5F5C7F23"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Age</w:t>
            </w:r>
          </w:p>
        </w:tc>
        <w:tc>
          <w:tcPr>
            <w:tcW w:w="2278" w:type="dxa"/>
            <w:vAlign w:val="center"/>
          </w:tcPr>
          <w:p w14:paraId="7A86588C"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Late Teens</w:t>
            </w:r>
          </w:p>
        </w:tc>
        <w:tc>
          <w:tcPr>
            <w:tcW w:w="992" w:type="dxa"/>
          </w:tcPr>
          <w:p w14:paraId="0EFFF636"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0C953922"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1138" w:type="dxa"/>
          </w:tcPr>
          <w:p w14:paraId="53BD73B7"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w:t>
            </w:r>
          </w:p>
        </w:tc>
        <w:tc>
          <w:tcPr>
            <w:tcW w:w="983" w:type="dxa"/>
          </w:tcPr>
          <w:p w14:paraId="260D0D52"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7</w:t>
            </w:r>
          </w:p>
        </w:tc>
      </w:tr>
      <w:tr w:rsidR="00D363F8" w:rsidRPr="00216F9C" w14:paraId="5B05261E"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63178C41"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196C8E34"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74982CA4"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Early Adulthood</w:t>
            </w:r>
          </w:p>
        </w:tc>
        <w:tc>
          <w:tcPr>
            <w:tcW w:w="992" w:type="dxa"/>
            <w:tcBorders>
              <w:top w:val="none" w:sz="0" w:space="0" w:color="auto"/>
              <w:bottom w:val="none" w:sz="0" w:space="0" w:color="auto"/>
            </w:tcBorders>
          </w:tcPr>
          <w:p w14:paraId="0CF581EC"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93" w:type="dxa"/>
            <w:tcBorders>
              <w:top w:val="none" w:sz="0" w:space="0" w:color="auto"/>
              <w:bottom w:val="none" w:sz="0" w:space="0" w:color="auto"/>
            </w:tcBorders>
          </w:tcPr>
          <w:p w14:paraId="4185F56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c>
          <w:tcPr>
            <w:tcW w:w="1138" w:type="dxa"/>
            <w:tcBorders>
              <w:top w:val="none" w:sz="0" w:space="0" w:color="auto"/>
              <w:bottom w:val="none" w:sz="0" w:space="0" w:color="auto"/>
            </w:tcBorders>
          </w:tcPr>
          <w:p w14:paraId="4B2452E0"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w:t>
            </w:r>
          </w:p>
        </w:tc>
        <w:tc>
          <w:tcPr>
            <w:tcW w:w="983" w:type="dxa"/>
            <w:tcBorders>
              <w:top w:val="none" w:sz="0" w:space="0" w:color="auto"/>
              <w:bottom w:val="none" w:sz="0" w:space="0" w:color="auto"/>
            </w:tcBorders>
          </w:tcPr>
          <w:p w14:paraId="4B8C28C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15</w:t>
            </w:r>
          </w:p>
        </w:tc>
      </w:tr>
      <w:tr w:rsidR="00D363F8" w:rsidRPr="00216F9C" w14:paraId="01593131"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6F944634"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26563C04"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55493A7F"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Late Adulthood</w:t>
            </w:r>
          </w:p>
        </w:tc>
        <w:tc>
          <w:tcPr>
            <w:tcW w:w="992" w:type="dxa"/>
          </w:tcPr>
          <w:p w14:paraId="7555FA31"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6</w:t>
            </w:r>
          </w:p>
        </w:tc>
        <w:tc>
          <w:tcPr>
            <w:tcW w:w="993" w:type="dxa"/>
          </w:tcPr>
          <w:p w14:paraId="7E6C24C1"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8</w:t>
            </w:r>
          </w:p>
        </w:tc>
        <w:tc>
          <w:tcPr>
            <w:tcW w:w="1138" w:type="dxa"/>
          </w:tcPr>
          <w:p w14:paraId="15CB032A"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c>
          <w:tcPr>
            <w:tcW w:w="983" w:type="dxa"/>
          </w:tcPr>
          <w:p w14:paraId="28453043"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23</w:t>
            </w:r>
          </w:p>
        </w:tc>
      </w:tr>
      <w:tr w:rsidR="00D363F8" w:rsidRPr="00216F9C" w14:paraId="5356C6C0"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55C0D6C7"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61FC700D"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2C638D46"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Early Elderly</w:t>
            </w:r>
          </w:p>
        </w:tc>
        <w:tc>
          <w:tcPr>
            <w:tcW w:w="992" w:type="dxa"/>
            <w:tcBorders>
              <w:top w:val="none" w:sz="0" w:space="0" w:color="auto"/>
              <w:bottom w:val="none" w:sz="0" w:space="0" w:color="auto"/>
            </w:tcBorders>
          </w:tcPr>
          <w:p w14:paraId="022F7526"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93" w:type="dxa"/>
            <w:tcBorders>
              <w:top w:val="none" w:sz="0" w:space="0" w:color="auto"/>
              <w:bottom w:val="none" w:sz="0" w:space="0" w:color="auto"/>
            </w:tcBorders>
          </w:tcPr>
          <w:p w14:paraId="71ADE78D"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w:t>
            </w:r>
          </w:p>
        </w:tc>
        <w:tc>
          <w:tcPr>
            <w:tcW w:w="1138" w:type="dxa"/>
            <w:tcBorders>
              <w:top w:val="none" w:sz="0" w:space="0" w:color="auto"/>
              <w:bottom w:val="none" w:sz="0" w:space="0" w:color="auto"/>
            </w:tcBorders>
          </w:tcPr>
          <w:p w14:paraId="379907A2"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Borders>
              <w:top w:val="none" w:sz="0" w:space="0" w:color="auto"/>
              <w:bottom w:val="none" w:sz="0" w:space="0" w:color="auto"/>
            </w:tcBorders>
          </w:tcPr>
          <w:p w14:paraId="04C6A28E"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8</w:t>
            </w:r>
          </w:p>
        </w:tc>
      </w:tr>
      <w:tr w:rsidR="00D363F8" w:rsidRPr="00216F9C" w14:paraId="70ACD02C"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43139130"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60B5A551"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33940E2F"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Late Elderly</w:t>
            </w:r>
          </w:p>
        </w:tc>
        <w:tc>
          <w:tcPr>
            <w:tcW w:w="992" w:type="dxa"/>
          </w:tcPr>
          <w:p w14:paraId="51F10148"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25CB09B0"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1138" w:type="dxa"/>
          </w:tcPr>
          <w:p w14:paraId="793F794E"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Pr>
          <w:p w14:paraId="131D9369"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r>
      <w:tr w:rsidR="00D363F8" w:rsidRPr="00216F9C" w14:paraId="4EE5B3F5"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bottom w:val="none" w:sz="0" w:space="0" w:color="auto"/>
            </w:tcBorders>
            <w:vAlign w:val="center"/>
          </w:tcPr>
          <w:p w14:paraId="30BB2E8F" w14:textId="77777777" w:rsidR="00555BEA" w:rsidRPr="00216F9C" w:rsidRDefault="00555BEA" w:rsidP="00EE23A6">
            <w:pPr>
              <w:pBdr>
                <w:top w:val="nil"/>
                <w:left w:val="nil"/>
                <w:bottom w:val="nil"/>
                <w:right w:val="nil"/>
                <w:between w:val="nil"/>
              </w:pBdr>
              <w:jc w:val="center"/>
              <w:rPr>
                <w:rFonts w:ascii="Garamond" w:eastAsia="Garamond" w:hAnsi="Garamond" w:cs="Garamond"/>
                <w:b w:val="0"/>
                <w:color w:val="000000"/>
              </w:rPr>
            </w:pPr>
            <w:r w:rsidRPr="00216F9C">
              <w:rPr>
                <w:rFonts w:ascii="Garamond" w:eastAsia="Garamond" w:hAnsi="Garamond" w:cs="Garamond"/>
                <w:b w:val="0"/>
                <w:color w:val="000000"/>
              </w:rPr>
              <w:t>3</w:t>
            </w:r>
          </w:p>
        </w:tc>
        <w:tc>
          <w:tcPr>
            <w:tcW w:w="993" w:type="dxa"/>
            <w:vMerge w:val="restart"/>
            <w:tcBorders>
              <w:top w:val="none" w:sz="0" w:space="0" w:color="auto"/>
              <w:bottom w:val="none" w:sz="0" w:space="0" w:color="auto"/>
            </w:tcBorders>
            <w:vAlign w:val="center"/>
          </w:tcPr>
          <w:p w14:paraId="17F5E01F"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Level of education</w:t>
            </w:r>
          </w:p>
        </w:tc>
        <w:tc>
          <w:tcPr>
            <w:tcW w:w="2278" w:type="dxa"/>
            <w:tcBorders>
              <w:top w:val="none" w:sz="0" w:space="0" w:color="auto"/>
              <w:bottom w:val="none" w:sz="0" w:space="0" w:color="auto"/>
            </w:tcBorders>
            <w:vAlign w:val="center"/>
          </w:tcPr>
          <w:p w14:paraId="4EA3B344"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Junior High School</w:t>
            </w:r>
          </w:p>
        </w:tc>
        <w:tc>
          <w:tcPr>
            <w:tcW w:w="992" w:type="dxa"/>
            <w:tcBorders>
              <w:top w:val="none" w:sz="0" w:space="0" w:color="auto"/>
              <w:bottom w:val="none" w:sz="0" w:space="0" w:color="auto"/>
            </w:tcBorders>
          </w:tcPr>
          <w:p w14:paraId="792125C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Borders>
              <w:top w:val="none" w:sz="0" w:space="0" w:color="auto"/>
              <w:bottom w:val="none" w:sz="0" w:space="0" w:color="auto"/>
            </w:tcBorders>
          </w:tcPr>
          <w:p w14:paraId="07B2F041"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1138" w:type="dxa"/>
            <w:tcBorders>
              <w:top w:val="none" w:sz="0" w:space="0" w:color="auto"/>
              <w:bottom w:val="none" w:sz="0" w:space="0" w:color="auto"/>
            </w:tcBorders>
          </w:tcPr>
          <w:p w14:paraId="76B7A07D"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83" w:type="dxa"/>
            <w:tcBorders>
              <w:top w:val="none" w:sz="0" w:space="0" w:color="auto"/>
              <w:bottom w:val="none" w:sz="0" w:space="0" w:color="auto"/>
            </w:tcBorders>
          </w:tcPr>
          <w:p w14:paraId="7D94C20F"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r>
      <w:tr w:rsidR="00D363F8" w:rsidRPr="00216F9C" w14:paraId="3B54BA1C"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D35973E"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6BF80C2C"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25F7EE58"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Times New Roman" w:hAnsi="Garamond" w:cs="Times New Roman"/>
                <w:bCs/>
                <w:color w:val="000000"/>
              </w:rPr>
              <w:t>Senior High School</w:t>
            </w:r>
          </w:p>
        </w:tc>
        <w:tc>
          <w:tcPr>
            <w:tcW w:w="992" w:type="dxa"/>
          </w:tcPr>
          <w:p w14:paraId="337F7146"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3B2952F6"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1138" w:type="dxa"/>
          </w:tcPr>
          <w:p w14:paraId="3B607A9D"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w:t>
            </w:r>
          </w:p>
        </w:tc>
        <w:tc>
          <w:tcPr>
            <w:tcW w:w="983" w:type="dxa"/>
          </w:tcPr>
          <w:p w14:paraId="7F4CAB4E"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7</w:t>
            </w:r>
          </w:p>
        </w:tc>
      </w:tr>
      <w:tr w:rsidR="00D363F8" w:rsidRPr="00216F9C" w14:paraId="2C0516DA"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3C7497DE"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5FF2F55D"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06BBE933"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Times New Roman" w:hAnsi="Garamond" w:cs="Times New Roman"/>
                <w:bCs/>
                <w:color w:val="000000"/>
              </w:rPr>
              <w:t>Associate Degree</w:t>
            </w:r>
          </w:p>
        </w:tc>
        <w:tc>
          <w:tcPr>
            <w:tcW w:w="992" w:type="dxa"/>
            <w:tcBorders>
              <w:top w:val="none" w:sz="0" w:space="0" w:color="auto"/>
              <w:bottom w:val="none" w:sz="0" w:space="0" w:color="auto"/>
            </w:tcBorders>
          </w:tcPr>
          <w:p w14:paraId="71EDF90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6</w:t>
            </w:r>
          </w:p>
        </w:tc>
        <w:tc>
          <w:tcPr>
            <w:tcW w:w="993" w:type="dxa"/>
            <w:tcBorders>
              <w:top w:val="none" w:sz="0" w:space="0" w:color="auto"/>
              <w:bottom w:val="none" w:sz="0" w:space="0" w:color="auto"/>
            </w:tcBorders>
          </w:tcPr>
          <w:p w14:paraId="517787E3"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c>
          <w:tcPr>
            <w:tcW w:w="1138" w:type="dxa"/>
            <w:tcBorders>
              <w:top w:val="none" w:sz="0" w:space="0" w:color="auto"/>
              <w:bottom w:val="none" w:sz="0" w:space="0" w:color="auto"/>
            </w:tcBorders>
          </w:tcPr>
          <w:p w14:paraId="71A5038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c>
          <w:tcPr>
            <w:tcW w:w="983" w:type="dxa"/>
            <w:tcBorders>
              <w:top w:val="none" w:sz="0" w:space="0" w:color="auto"/>
              <w:bottom w:val="none" w:sz="0" w:space="0" w:color="auto"/>
            </w:tcBorders>
          </w:tcPr>
          <w:p w14:paraId="628539BE"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24</w:t>
            </w:r>
          </w:p>
        </w:tc>
      </w:tr>
      <w:tr w:rsidR="00D363F8" w:rsidRPr="00216F9C" w14:paraId="633FB5FA"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A4A6117"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727B9C86"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0B30B379"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Times New Roman" w:hAnsi="Garamond" w:cs="Times New Roman"/>
                <w:bCs/>
                <w:color w:val="000000"/>
              </w:rPr>
              <w:t>Applied Bachelor</w:t>
            </w:r>
          </w:p>
        </w:tc>
        <w:tc>
          <w:tcPr>
            <w:tcW w:w="992" w:type="dxa"/>
          </w:tcPr>
          <w:p w14:paraId="6661E6EC"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93" w:type="dxa"/>
          </w:tcPr>
          <w:p w14:paraId="54E4CDE4"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1138" w:type="dxa"/>
          </w:tcPr>
          <w:p w14:paraId="68BB7BB8"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Pr>
          <w:p w14:paraId="7B861E27"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6</w:t>
            </w:r>
          </w:p>
        </w:tc>
      </w:tr>
      <w:tr w:rsidR="00D363F8" w:rsidRPr="00216F9C" w14:paraId="7E20F14E"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1E3522BF"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7782B494"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6C567EA2"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Times New Roman" w:hAnsi="Garamond" w:cs="Times New Roman"/>
                <w:bCs/>
                <w:color w:val="000000"/>
              </w:rPr>
              <w:t>Bachelor</w:t>
            </w:r>
          </w:p>
        </w:tc>
        <w:tc>
          <w:tcPr>
            <w:tcW w:w="992" w:type="dxa"/>
            <w:tcBorders>
              <w:top w:val="none" w:sz="0" w:space="0" w:color="auto"/>
              <w:bottom w:val="none" w:sz="0" w:space="0" w:color="auto"/>
            </w:tcBorders>
          </w:tcPr>
          <w:p w14:paraId="4D450A3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93" w:type="dxa"/>
            <w:tcBorders>
              <w:top w:val="none" w:sz="0" w:space="0" w:color="auto"/>
              <w:bottom w:val="none" w:sz="0" w:space="0" w:color="auto"/>
            </w:tcBorders>
          </w:tcPr>
          <w:p w14:paraId="6CA568BF"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c>
          <w:tcPr>
            <w:tcW w:w="1138" w:type="dxa"/>
            <w:tcBorders>
              <w:top w:val="none" w:sz="0" w:space="0" w:color="auto"/>
              <w:bottom w:val="none" w:sz="0" w:space="0" w:color="auto"/>
            </w:tcBorders>
          </w:tcPr>
          <w:p w14:paraId="20B04AE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w:t>
            </w:r>
          </w:p>
        </w:tc>
        <w:tc>
          <w:tcPr>
            <w:tcW w:w="983" w:type="dxa"/>
            <w:tcBorders>
              <w:top w:val="none" w:sz="0" w:space="0" w:color="auto"/>
              <w:bottom w:val="none" w:sz="0" w:space="0" w:color="auto"/>
            </w:tcBorders>
          </w:tcPr>
          <w:p w14:paraId="2635EF10"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15</w:t>
            </w:r>
          </w:p>
        </w:tc>
      </w:tr>
      <w:tr w:rsidR="00D363F8" w:rsidRPr="00216F9C" w14:paraId="7F3CB392"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0D63BE4"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45C46BBA"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1B658681"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Times New Roman" w:hAnsi="Garamond" w:cs="Times New Roman"/>
                <w:bCs/>
                <w:color w:val="000000"/>
              </w:rPr>
              <w:t>Master</w:t>
            </w:r>
          </w:p>
        </w:tc>
        <w:tc>
          <w:tcPr>
            <w:tcW w:w="992" w:type="dxa"/>
          </w:tcPr>
          <w:p w14:paraId="20E5C4BA"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29B8E073"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1138" w:type="dxa"/>
          </w:tcPr>
          <w:p w14:paraId="34875D31"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83" w:type="dxa"/>
          </w:tcPr>
          <w:p w14:paraId="480EEA3B"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r>
      <w:tr w:rsidR="00D363F8" w:rsidRPr="00216F9C" w14:paraId="4F6DAAF3"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bottom w:val="none" w:sz="0" w:space="0" w:color="auto"/>
            </w:tcBorders>
            <w:vAlign w:val="center"/>
          </w:tcPr>
          <w:p w14:paraId="56C1D595" w14:textId="77777777" w:rsidR="00555BEA" w:rsidRPr="00216F9C" w:rsidRDefault="00555BEA" w:rsidP="00EE23A6">
            <w:pPr>
              <w:pBdr>
                <w:top w:val="nil"/>
                <w:left w:val="nil"/>
                <w:bottom w:val="nil"/>
                <w:right w:val="nil"/>
                <w:between w:val="nil"/>
              </w:pBdr>
              <w:jc w:val="center"/>
              <w:rPr>
                <w:rFonts w:ascii="Garamond" w:eastAsia="Garamond" w:hAnsi="Garamond" w:cs="Garamond"/>
                <w:b w:val="0"/>
                <w:color w:val="000000"/>
              </w:rPr>
            </w:pPr>
            <w:r w:rsidRPr="00216F9C">
              <w:rPr>
                <w:rFonts w:ascii="Garamond" w:eastAsia="Garamond" w:hAnsi="Garamond" w:cs="Garamond"/>
                <w:b w:val="0"/>
                <w:color w:val="000000"/>
              </w:rPr>
              <w:t>4</w:t>
            </w:r>
          </w:p>
        </w:tc>
        <w:tc>
          <w:tcPr>
            <w:tcW w:w="993" w:type="dxa"/>
            <w:vMerge w:val="restart"/>
            <w:tcBorders>
              <w:top w:val="none" w:sz="0" w:space="0" w:color="auto"/>
              <w:bottom w:val="none" w:sz="0" w:space="0" w:color="auto"/>
            </w:tcBorders>
            <w:vAlign w:val="center"/>
          </w:tcPr>
          <w:p w14:paraId="652BA48C"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Profession</w:t>
            </w:r>
          </w:p>
        </w:tc>
        <w:tc>
          <w:tcPr>
            <w:tcW w:w="2278" w:type="dxa"/>
            <w:tcBorders>
              <w:top w:val="none" w:sz="0" w:space="0" w:color="auto"/>
              <w:bottom w:val="none" w:sz="0" w:space="0" w:color="auto"/>
            </w:tcBorders>
            <w:vAlign w:val="center"/>
          </w:tcPr>
          <w:p w14:paraId="56546C8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Administration</w:t>
            </w:r>
          </w:p>
        </w:tc>
        <w:tc>
          <w:tcPr>
            <w:tcW w:w="992" w:type="dxa"/>
            <w:tcBorders>
              <w:top w:val="none" w:sz="0" w:space="0" w:color="auto"/>
              <w:bottom w:val="none" w:sz="0" w:space="0" w:color="auto"/>
            </w:tcBorders>
          </w:tcPr>
          <w:p w14:paraId="7FD4061A"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Borders>
              <w:top w:val="none" w:sz="0" w:space="0" w:color="auto"/>
              <w:bottom w:val="none" w:sz="0" w:space="0" w:color="auto"/>
            </w:tcBorders>
          </w:tcPr>
          <w:p w14:paraId="03FB00D8"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1138" w:type="dxa"/>
            <w:tcBorders>
              <w:top w:val="none" w:sz="0" w:space="0" w:color="auto"/>
              <w:bottom w:val="none" w:sz="0" w:space="0" w:color="auto"/>
            </w:tcBorders>
          </w:tcPr>
          <w:p w14:paraId="4F5C1970"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Borders>
              <w:top w:val="none" w:sz="0" w:space="0" w:color="auto"/>
              <w:bottom w:val="none" w:sz="0" w:space="0" w:color="auto"/>
            </w:tcBorders>
          </w:tcPr>
          <w:p w14:paraId="1B48B5A8"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r>
      <w:tr w:rsidR="00D363F8" w:rsidRPr="00216F9C" w14:paraId="2DFCA461"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3D43F99B"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73CB742A"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5F346CB0"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Pharmacist</w:t>
            </w:r>
          </w:p>
        </w:tc>
        <w:tc>
          <w:tcPr>
            <w:tcW w:w="992" w:type="dxa"/>
          </w:tcPr>
          <w:p w14:paraId="793A7879"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532CA04F"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1138" w:type="dxa"/>
          </w:tcPr>
          <w:p w14:paraId="720ED555"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83" w:type="dxa"/>
          </w:tcPr>
          <w:p w14:paraId="3E1B0787"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3</w:t>
            </w:r>
          </w:p>
        </w:tc>
      </w:tr>
      <w:tr w:rsidR="00D363F8" w:rsidRPr="00216F9C" w14:paraId="06B99128"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503AEB03"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7F56C0C1"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3E2DB72E"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ATLM</w:t>
            </w:r>
          </w:p>
        </w:tc>
        <w:tc>
          <w:tcPr>
            <w:tcW w:w="992" w:type="dxa"/>
            <w:tcBorders>
              <w:top w:val="none" w:sz="0" w:space="0" w:color="auto"/>
              <w:bottom w:val="none" w:sz="0" w:space="0" w:color="auto"/>
            </w:tcBorders>
          </w:tcPr>
          <w:p w14:paraId="7AD93E58"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93" w:type="dxa"/>
            <w:tcBorders>
              <w:top w:val="none" w:sz="0" w:space="0" w:color="auto"/>
              <w:bottom w:val="none" w:sz="0" w:space="0" w:color="auto"/>
            </w:tcBorders>
          </w:tcPr>
          <w:p w14:paraId="7B399F9D"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1138" w:type="dxa"/>
            <w:tcBorders>
              <w:top w:val="none" w:sz="0" w:space="0" w:color="auto"/>
              <w:bottom w:val="none" w:sz="0" w:space="0" w:color="auto"/>
            </w:tcBorders>
          </w:tcPr>
          <w:p w14:paraId="6CAD4EBB"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83" w:type="dxa"/>
            <w:tcBorders>
              <w:top w:val="none" w:sz="0" w:space="0" w:color="auto"/>
              <w:bottom w:val="none" w:sz="0" w:space="0" w:color="auto"/>
            </w:tcBorders>
          </w:tcPr>
          <w:p w14:paraId="4FB25026"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r>
      <w:tr w:rsidR="00D363F8" w:rsidRPr="00216F9C" w14:paraId="08AB135F"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18026CB9"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3011A9BC"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30A95170"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Midwife</w:t>
            </w:r>
          </w:p>
        </w:tc>
        <w:tc>
          <w:tcPr>
            <w:tcW w:w="992" w:type="dxa"/>
          </w:tcPr>
          <w:p w14:paraId="6AA5FBBE"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w:t>
            </w:r>
          </w:p>
        </w:tc>
        <w:tc>
          <w:tcPr>
            <w:tcW w:w="993" w:type="dxa"/>
          </w:tcPr>
          <w:p w14:paraId="7CB7A1DA"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3</w:t>
            </w:r>
          </w:p>
        </w:tc>
        <w:tc>
          <w:tcPr>
            <w:tcW w:w="1138" w:type="dxa"/>
          </w:tcPr>
          <w:p w14:paraId="2BC935BD"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w:t>
            </w:r>
          </w:p>
        </w:tc>
        <w:tc>
          <w:tcPr>
            <w:tcW w:w="983" w:type="dxa"/>
          </w:tcPr>
          <w:p w14:paraId="611F4BC8"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12</w:t>
            </w:r>
          </w:p>
        </w:tc>
      </w:tr>
      <w:tr w:rsidR="00D363F8" w:rsidRPr="00216F9C" w14:paraId="0F9D5E3F"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2612E394"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3DB163DB"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5950A026"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Cleaning Service</w:t>
            </w:r>
          </w:p>
        </w:tc>
        <w:tc>
          <w:tcPr>
            <w:tcW w:w="992" w:type="dxa"/>
            <w:tcBorders>
              <w:top w:val="none" w:sz="0" w:space="0" w:color="auto"/>
              <w:bottom w:val="none" w:sz="0" w:space="0" w:color="auto"/>
            </w:tcBorders>
          </w:tcPr>
          <w:p w14:paraId="051CB89C"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Borders>
              <w:top w:val="none" w:sz="0" w:space="0" w:color="auto"/>
              <w:bottom w:val="none" w:sz="0" w:space="0" w:color="auto"/>
            </w:tcBorders>
          </w:tcPr>
          <w:p w14:paraId="39E2F43E"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1138" w:type="dxa"/>
            <w:tcBorders>
              <w:top w:val="none" w:sz="0" w:space="0" w:color="auto"/>
              <w:bottom w:val="none" w:sz="0" w:space="0" w:color="auto"/>
            </w:tcBorders>
          </w:tcPr>
          <w:p w14:paraId="52C0B182"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Borders>
              <w:top w:val="none" w:sz="0" w:space="0" w:color="auto"/>
              <w:bottom w:val="none" w:sz="0" w:space="0" w:color="auto"/>
            </w:tcBorders>
          </w:tcPr>
          <w:p w14:paraId="4566B0E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w:t>
            </w:r>
          </w:p>
        </w:tc>
      </w:tr>
      <w:tr w:rsidR="00D363F8" w:rsidRPr="00216F9C" w14:paraId="78371EFF"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23353F93"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4CD4B614"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175A08A4"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Doctor</w:t>
            </w:r>
          </w:p>
        </w:tc>
        <w:tc>
          <w:tcPr>
            <w:tcW w:w="992" w:type="dxa"/>
          </w:tcPr>
          <w:p w14:paraId="740A3A37"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47684A7D"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6</w:t>
            </w:r>
          </w:p>
        </w:tc>
        <w:tc>
          <w:tcPr>
            <w:tcW w:w="1138" w:type="dxa"/>
          </w:tcPr>
          <w:p w14:paraId="06FE76A7"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83" w:type="dxa"/>
          </w:tcPr>
          <w:p w14:paraId="6B1AA4F4"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7</w:t>
            </w:r>
          </w:p>
        </w:tc>
      </w:tr>
      <w:tr w:rsidR="00D363F8" w:rsidRPr="00216F9C" w14:paraId="29299BC4"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75AD0E4D"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0B0A8EF2"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2F1A8DD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Nutritionist</w:t>
            </w:r>
          </w:p>
        </w:tc>
        <w:tc>
          <w:tcPr>
            <w:tcW w:w="992" w:type="dxa"/>
            <w:tcBorders>
              <w:top w:val="none" w:sz="0" w:space="0" w:color="auto"/>
              <w:bottom w:val="none" w:sz="0" w:space="0" w:color="auto"/>
            </w:tcBorders>
          </w:tcPr>
          <w:p w14:paraId="28C0463A"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93" w:type="dxa"/>
            <w:tcBorders>
              <w:top w:val="none" w:sz="0" w:space="0" w:color="auto"/>
              <w:bottom w:val="none" w:sz="0" w:space="0" w:color="auto"/>
            </w:tcBorders>
          </w:tcPr>
          <w:p w14:paraId="7352DFBB"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1138" w:type="dxa"/>
            <w:tcBorders>
              <w:top w:val="none" w:sz="0" w:space="0" w:color="auto"/>
              <w:bottom w:val="none" w:sz="0" w:space="0" w:color="auto"/>
            </w:tcBorders>
          </w:tcPr>
          <w:p w14:paraId="4D5DFFC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Borders>
              <w:top w:val="none" w:sz="0" w:space="0" w:color="auto"/>
              <w:bottom w:val="none" w:sz="0" w:space="0" w:color="auto"/>
            </w:tcBorders>
          </w:tcPr>
          <w:p w14:paraId="2A2A05B4"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3</w:t>
            </w:r>
          </w:p>
        </w:tc>
      </w:tr>
      <w:tr w:rsidR="00D363F8" w:rsidRPr="00216F9C" w14:paraId="704E665F"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3C496BB8"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67B6508D"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583D21D7"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Nurse</w:t>
            </w:r>
          </w:p>
        </w:tc>
        <w:tc>
          <w:tcPr>
            <w:tcW w:w="992" w:type="dxa"/>
          </w:tcPr>
          <w:p w14:paraId="3C480F2B"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93" w:type="dxa"/>
          </w:tcPr>
          <w:p w14:paraId="337ACB33"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w:t>
            </w:r>
          </w:p>
        </w:tc>
        <w:tc>
          <w:tcPr>
            <w:tcW w:w="1138" w:type="dxa"/>
          </w:tcPr>
          <w:p w14:paraId="08D2308F"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Pr>
          <w:p w14:paraId="029D86F0"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9</w:t>
            </w:r>
          </w:p>
        </w:tc>
      </w:tr>
      <w:tr w:rsidR="00D363F8" w:rsidRPr="00216F9C" w14:paraId="1784C2C4"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0ABA4BC5"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27F97559"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28179453"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Health Promotion</w:t>
            </w:r>
          </w:p>
        </w:tc>
        <w:tc>
          <w:tcPr>
            <w:tcW w:w="992" w:type="dxa"/>
            <w:tcBorders>
              <w:top w:val="none" w:sz="0" w:space="0" w:color="auto"/>
              <w:bottom w:val="none" w:sz="0" w:space="0" w:color="auto"/>
            </w:tcBorders>
          </w:tcPr>
          <w:p w14:paraId="2BA20873"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Borders>
              <w:top w:val="none" w:sz="0" w:space="0" w:color="auto"/>
              <w:bottom w:val="none" w:sz="0" w:space="0" w:color="auto"/>
            </w:tcBorders>
          </w:tcPr>
          <w:p w14:paraId="022AE48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3</w:t>
            </w:r>
          </w:p>
        </w:tc>
        <w:tc>
          <w:tcPr>
            <w:tcW w:w="1138" w:type="dxa"/>
            <w:tcBorders>
              <w:top w:val="none" w:sz="0" w:space="0" w:color="auto"/>
              <w:bottom w:val="none" w:sz="0" w:space="0" w:color="auto"/>
            </w:tcBorders>
          </w:tcPr>
          <w:p w14:paraId="428D7365"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Borders>
              <w:top w:val="none" w:sz="0" w:space="0" w:color="auto"/>
              <w:bottom w:val="none" w:sz="0" w:space="0" w:color="auto"/>
            </w:tcBorders>
          </w:tcPr>
          <w:p w14:paraId="4790C28F"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5</w:t>
            </w:r>
          </w:p>
        </w:tc>
      </w:tr>
      <w:tr w:rsidR="00D363F8" w:rsidRPr="00216F9C" w14:paraId="549D9734"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B30925F"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716C370D"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5F88E72E"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Medical records</w:t>
            </w:r>
          </w:p>
        </w:tc>
        <w:tc>
          <w:tcPr>
            <w:tcW w:w="992" w:type="dxa"/>
          </w:tcPr>
          <w:p w14:paraId="2219BA7C"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5013FAAB"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1138" w:type="dxa"/>
          </w:tcPr>
          <w:p w14:paraId="298440DF"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3</w:t>
            </w:r>
          </w:p>
        </w:tc>
        <w:tc>
          <w:tcPr>
            <w:tcW w:w="983" w:type="dxa"/>
          </w:tcPr>
          <w:p w14:paraId="51B9812E"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w:t>
            </w:r>
          </w:p>
        </w:tc>
      </w:tr>
      <w:tr w:rsidR="00D363F8" w:rsidRPr="00216F9C" w14:paraId="4FA32E90"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tcBorders>
              <w:top w:val="none" w:sz="0" w:space="0" w:color="auto"/>
              <w:bottom w:val="none" w:sz="0" w:space="0" w:color="auto"/>
            </w:tcBorders>
            <w:vAlign w:val="center"/>
          </w:tcPr>
          <w:p w14:paraId="3CBE8965"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tcBorders>
              <w:top w:val="none" w:sz="0" w:space="0" w:color="auto"/>
              <w:bottom w:val="none" w:sz="0" w:space="0" w:color="auto"/>
            </w:tcBorders>
            <w:vAlign w:val="center"/>
          </w:tcPr>
          <w:p w14:paraId="74A9C9EB" w14:textId="77777777" w:rsidR="00555BEA" w:rsidRPr="00216F9C" w:rsidRDefault="00555BEA" w:rsidP="00EE23A6">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278" w:type="dxa"/>
            <w:tcBorders>
              <w:top w:val="none" w:sz="0" w:space="0" w:color="auto"/>
              <w:bottom w:val="none" w:sz="0" w:space="0" w:color="auto"/>
            </w:tcBorders>
            <w:vAlign w:val="center"/>
          </w:tcPr>
          <w:p w14:paraId="30B44198"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Sanitarian</w:t>
            </w:r>
          </w:p>
        </w:tc>
        <w:tc>
          <w:tcPr>
            <w:tcW w:w="992" w:type="dxa"/>
            <w:tcBorders>
              <w:top w:val="none" w:sz="0" w:space="0" w:color="auto"/>
              <w:bottom w:val="none" w:sz="0" w:space="0" w:color="auto"/>
            </w:tcBorders>
          </w:tcPr>
          <w:p w14:paraId="0E453C90"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Borders>
              <w:top w:val="none" w:sz="0" w:space="0" w:color="auto"/>
              <w:bottom w:val="none" w:sz="0" w:space="0" w:color="auto"/>
            </w:tcBorders>
          </w:tcPr>
          <w:p w14:paraId="113119B6"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1138" w:type="dxa"/>
            <w:tcBorders>
              <w:top w:val="none" w:sz="0" w:space="0" w:color="auto"/>
              <w:bottom w:val="none" w:sz="0" w:space="0" w:color="auto"/>
            </w:tcBorders>
          </w:tcPr>
          <w:p w14:paraId="23B413D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Borders>
              <w:top w:val="none" w:sz="0" w:space="0" w:color="auto"/>
              <w:bottom w:val="none" w:sz="0" w:space="0" w:color="auto"/>
            </w:tcBorders>
          </w:tcPr>
          <w:p w14:paraId="4E69E5D6"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r>
      <w:tr w:rsidR="00D363F8" w:rsidRPr="00216F9C" w14:paraId="78EE4CD0"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423E32C3"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672E449F"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750B632C"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Security guard</w:t>
            </w:r>
          </w:p>
        </w:tc>
        <w:tc>
          <w:tcPr>
            <w:tcW w:w="992" w:type="dxa"/>
          </w:tcPr>
          <w:p w14:paraId="50E87FE7"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0</w:t>
            </w:r>
          </w:p>
        </w:tc>
        <w:tc>
          <w:tcPr>
            <w:tcW w:w="993" w:type="dxa"/>
          </w:tcPr>
          <w:p w14:paraId="027F9092"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1138" w:type="dxa"/>
          </w:tcPr>
          <w:p w14:paraId="72D9E7BC"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83" w:type="dxa"/>
          </w:tcPr>
          <w:p w14:paraId="2C9C0811"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r>
      <w:tr w:rsidR="00D363F8" w:rsidRPr="00216F9C" w14:paraId="197C587C" w14:textId="77777777" w:rsidTr="00FC1696">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none" w:sz="0" w:space="0" w:color="auto"/>
              <w:bottom w:val="none" w:sz="0" w:space="0" w:color="auto"/>
            </w:tcBorders>
            <w:vAlign w:val="center"/>
          </w:tcPr>
          <w:p w14:paraId="6905C331" w14:textId="77777777" w:rsidR="00555BEA" w:rsidRPr="00216F9C" w:rsidRDefault="00555BEA" w:rsidP="00EE23A6">
            <w:pPr>
              <w:pBdr>
                <w:top w:val="nil"/>
                <w:left w:val="nil"/>
                <w:bottom w:val="nil"/>
                <w:right w:val="nil"/>
                <w:between w:val="nil"/>
              </w:pBdr>
              <w:jc w:val="center"/>
              <w:rPr>
                <w:rFonts w:ascii="Garamond" w:eastAsia="Garamond" w:hAnsi="Garamond" w:cs="Garamond"/>
                <w:b w:val="0"/>
                <w:color w:val="000000"/>
              </w:rPr>
            </w:pPr>
            <w:r w:rsidRPr="00216F9C">
              <w:rPr>
                <w:rFonts w:ascii="Garamond" w:eastAsia="Garamond" w:hAnsi="Garamond" w:cs="Garamond"/>
                <w:b w:val="0"/>
                <w:color w:val="000000"/>
              </w:rPr>
              <w:t>5</w:t>
            </w:r>
          </w:p>
        </w:tc>
        <w:tc>
          <w:tcPr>
            <w:tcW w:w="993" w:type="dxa"/>
            <w:vMerge w:val="restart"/>
            <w:tcBorders>
              <w:top w:val="none" w:sz="0" w:space="0" w:color="auto"/>
              <w:bottom w:val="none" w:sz="0" w:space="0" w:color="auto"/>
            </w:tcBorders>
            <w:vAlign w:val="center"/>
          </w:tcPr>
          <w:p w14:paraId="1D1E23EB"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Training</w:t>
            </w:r>
          </w:p>
        </w:tc>
        <w:tc>
          <w:tcPr>
            <w:tcW w:w="2278" w:type="dxa"/>
            <w:tcBorders>
              <w:top w:val="none" w:sz="0" w:space="0" w:color="auto"/>
              <w:bottom w:val="none" w:sz="0" w:space="0" w:color="auto"/>
            </w:tcBorders>
            <w:vAlign w:val="center"/>
          </w:tcPr>
          <w:p w14:paraId="28549E2D"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Once</w:t>
            </w:r>
          </w:p>
        </w:tc>
        <w:tc>
          <w:tcPr>
            <w:tcW w:w="992" w:type="dxa"/>
            <w:tcBorders>
              <w:top w:val="none" w:sz="0" w:space="0" w:color="auto"/>
              <w:bottom w:val="none" w:sz="0" w:space="0" w:color="auto"/>
            </w:tcBorders>
          </w:tcPr>
          <w:p w14:paraId="5144F9D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8</w:t>
            </w:r>
          </w:p>
        </w:tc>
        <w:tc>
          <w:tcPr>
            <w:tcW w:w="993" w:type="dxa"/>
            <w:tcBorders>
              <w:top w:val="none" w:sz="0" w:space="0" w:color="auto"/>
              <w:bottom w:val="none" w:sz="0" w:space="0" w:color="auto"/>
            </w:tcBorders>
          </w:tcPr>
          <w:p w14:paraId="5E31909C"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21</w:t>
            </w:r>
          </w:p>
        </w:tc>
        <w:tc>
          <w:tcPr>
            <w:tcW w:w="1138" w:type="dxa"/>
            <w:tcBorders>
              <w:top w:val="none" w:sz="0" w:space="0" w:color="auto"/>
              <w:bottom w:val="none" w:sz="0" w:space="0" w:color="auto"/>
            </w:tcBorders>
          </w:tcPr>
          <w:p w14:paraId="2E8592E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20</w:t>
            </w:r>
          </w:p>
        </w:tc>
        <w:tc>
          <w:tcPr>
            <w:tcW w:w="983" w:type="dxa"/>
            <w:tcBorders>
              <w:top w:val="none" w:sz="0" w:space="0" w:color="auto"/>
              <w:bottom w:val="none" w:sz="0" w:space="0" w:color="auto"/>
            </w:tcBorders>
          </w:tcPr>
          <w:p w14:paraId="556186C7" w14:textId="77777777" w:rsidR="00555BEA" w:rsidRPr="00216F9C" w:rsidRDefault="00555BEA" w:rsidP="00EE23A6">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49</w:t>
            </w:r>
          </w:p>
        </w:tc>
      </w:tr>
      <w:tr w:rsidR="00D363F8" w:rsidRPr="00216F9C" w14:paraId="3D254420" w14:textId="77777777" w:rsidTr="00FC1696">
        <w:trPr>
          <w:jc w:val="right"/>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14:paraId="525B5EDE" w14:textId="77777777" w:rsidR="00555BEA" w:rsidRPr="00216F9C" w:rsidRDefault="00555BEA" w:rsidP="00EE23A6">
            <w:pPr>
              <w:widowControl w:val="0"/>
              <w:pBdr>
                <w:top w:val="nil"/>
                <w:left w:val="nil"/>
                <w:bottom w:val="nil"/>
                <w:right w:val="nil"/>
                <w:between w:val="nil"/>
              </w:pBdr>
              <w:jc w:val="center"/>
              <w:rPr>
                <w:rFonts w:ascii="Garamond" w:eastAsia="Garamond" w:hAnsi="Garamond" w:cs="Garamond"/>
                <w:b w:val="0"/>
                <w:color w:val="000000"/>
              </w:rPr>
            </w:pPr>
          </w:p>
        </w:tc>
        <w:tc>
          <w:tcPr>
            <w:tcW w:w="993" w:type="dxa"/>
            <w:vMerge/>
            <w:vAlign w:val="center"/>
          </w:tcPr>
          <w:p w14:paraId="165351FA" w14:textId="77777777" w:rsidR="00555BEA" w:rsidRPr="00216F9C" w:rsidRDefault="00555BEA" w:rsidP="00EE23A6">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278" w:type="dxa"/>
            <w:vAlign w:val="center"/>
          </w:tcPr>
          <w:p w14:paraId="157CA9CE"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Never</w:t>
            </w:r>
          </w:p>
        </w:tc>
        <w:tc>
          <w:tcPr>
            <w:tcW w:w="992" w:type="dxa"/>
          </w:tcPr>
          <w:p w14:paraId="6A8B1056"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1</w:t>
            </w:r>
          </w:p>
        </w:tc>
        <w:tc>
          <w:tcPr>
            <w:tcW w:w="993" w:type="dxa"/>
          </w:tcPr>
          <w:p w14:paraId="73FE9E89"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3</w:t>
            </w:r>
          </w:p>
        </w:tc>
        <w:tc>
          <w:tcPr>
            <w:tcW w:w="1138" w:type="dxa"/>
          </w:tcPr>
          <w:p w14:paraId="0A14F22C"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2</w:t>
            </w:r>
          </w:p>
        </w:tc>
        <w:tc>
          <w:tcPr>
            <w:tcW w:w="983" w:type="dxa"/>
          </w:tcPr>
          <w:p w14:paraId="609B33F6" w14:textId="77777777" w:rsidR="00555BEA" w:rsidRPr="00216F9C" w:rsidRDefault="00555BEA" w:rsidP="00EE23A6">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216F9C">
              <w:rPr>
                <w:rFonts w:ascii="Garamond" w:eastAsia="Garamond" w:hAnsi="Garamond" w:cs="Garamond"/>
                <w:bCs/>
                <w:color w:val="000000"/>
              </w:rPr>
              <w:t>6</w:t>
            </w:r>
          </w:p>
        </w:tc>
      </w:tr>
    </w:tbl>
    <w:p w14:paraId="339DC5DC" w14:textId="77777777" w:rsidR="00216F9C" w:rsidRDefault="00216F9C" w:rsidP="00555BEA">
      <w:pPr>
        <w:pBdr>
          <w:top w:val="nil"/>
          <w:left w:val="nil"/>
          <w:bottom w:val="nil"/>
          <w:right w:val="nil"/>
          <w:between w:val="nil"/>
        </w:pBdr>
        <w:spacing w:after="0" w:line="360" w:lineRule="auto"/>
        <w:ind w:left="567" w:firstLine="426"/>
        <w:jc w:val="both"/>
        <w:rPr>
          <w:rFonts w:ascii="Garamond" w:eastAsia="Garamond" w:hAnsi="Garamond" w:cs="Garamond"/>
          <w:color w:val="000000"/>
        </w:rPr>
      </w:pPr>
    </w:p>
    <w:p w14:paraId="59B35EB5" w14:textId="556F8DBF" w:rsidR="00555BEA" w:rsidRDefault="00555BEA" w:rsidP="005A4A75">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The distribution of respondents based on knowledge of the workforce at the Dinoyo Community Health Center showed that 22 respondents (40%) were in the poor category. 7 male workers (47%) have a level of "less" knowledge. This contradicts Moekijat's (1998) statement that men tend to obtain information more easily because the information they get from activities is higher.</w:t>
      </w:r>
    </w:p>
    <w:p w14:paraId="514532D9" w14:textId="77777777" w:rsidR="00555BEA" w:rsidRDefault="00555BEA" w:rsidP="005A4A75">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Workers in late elderly in the age range of 56-65 years, have a knowledge level of "less" as many as 2 people (100%). This could be because increasing age can affect a person's physical and psychological well-being. The body's ability to carry out various activities will decrease.</w:t>
      </w:r>
    </w:p>
    <w:p w14:paraId="66BC9AA7" w14:textId="77777777" w:rsidR="00555BEA" w:rsidRDefault="00555BEA" w:rsidP="005A4A75">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Workers with a high school education level had a "less" level of knowledge as many as 5 people (71%). Knowledge can be obtained from formal or non-formal education. The higher the level of education, the higher the process of receiving information. This is in line with Mubarak, et al (2007) regarding factors that influence a person's knowledge, namely education level. </w:t>
      </w:r>
    </w:p>
    <w:p w14:paraId="6C85E11E" w14:textId="77777777" w:rsidR="00555BEA" w:rsidRDefault="00555BEA" w:rsidP="005A4A75">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Workers with administrative and sanitarian professions have a level of "less" knowledge of 2 people each (100%). A person can gain knowledge and experience from the work environment. A person's profession can influence knowledge because of daily activities such as interactions with other people. </w:t>
      </w:r>
    </w:p>
    <w:p w14:paraId="671A1DAE" w14:textId="77777777" w:rsidR="00555BEA" w:rsidRDefault="00555BEA" w:rsidP="005A4A75">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20 workers who had attended fire training had a level of "less" knowledge (40.8%). Knowledge can be obtained if the individual has an interest in something. Without interest, the individual will not try or pursue it so that the knowledge gained will not be optimal.  </w:t>
      </w:r>
    </w:p>
    <w:p w14:paraId="4E843E67" w14:textId="34CE06E6" w:rsidR="001A124B" w:rsidRDefault="00555BEA" w:rsidP="00B169F5">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This shows that many workers do not understand how to deal with fires, especially the level of understanding regarding the causes of fires and social vulnerability. So it is one of the factors inhibiting workforce preparedness at the Dinoyo Community Health Center.</w:t>
      </w:r>
    </w:p>
    <w:p w14:paraId="5EEB72BB" w14:textId="77777777" w:rsidR="001A124B" w:rsidRDefault="001A124B">
      <w:pPr>
        <w:spacing w:after="0" w:line="240" w:lineRule="auto"/>
        <w:rPr>
          <w:rFonts w:ascii="Garamond" w:eastAsia="Garamond" w:hAnsi="Garamond" w:cs="Garamond"/>
          <w:color w:val="000000"/>
        </w:rPr>
      </w:pPr>
      <w:r>
        <w:rPr>
          <w:rFonts w:ascii="Garamond" w:eastAsia="Garamond" w:hAnsi="Garamond" w:cs="Garamond"/>
          <w:color w:val="000000"/>
        </w:rPr>
        <w:br w:type="page"/>
      </w:r>
    </w:p>
    <w:p w14:paraId="1D89DF8D" w14:textId="77777777" w:rsidR="00555BEA" w:rsidRPr="00D363F8" w:rsidRDefault="00555BEA" w:rsidP="00F9511B">
      <w:pPr>
        <w:numPr>
          <w:ilvl w:val="0"/>
          <w:numId w:val="7"/>
        </w:numPr>
        <w:pBdr>
          <w:top w:val="nil"/>
          <w:left w:val="nil"/>
          <w:bottom w:val="nil"/>
          <w:right w:val="nil"/>
          <w:between w:val="nil"/>
        </w:pBdr>
        <w:spacing w:after="120" w:line="360" w:lineRule="auto"/>
        <w:ind w:left="284"/>
        <w:jc w:val="both"/>
        <w:rPr>
          <w:rFonts w:ascii="Garamond" w:eastAsia="Garamond" w:hAnsi="Garamond" w:cs="Garamond"/>
          <w:bCs/>
          <w:color w:val="000000"/>
        </w:rPr>
      </w:pPr>
      <w:r w:rsidRPr="00D363F8">
        <w:rPr>
          <w:rFonts w:ascii="Garamond" w:eastAsia="Garamond" w:hAnsi="Garamond" w:cs="Garamond"/>
          <w:bCs/>
          <w:color w:val="000000"/>
        </w:rPr>
        <w:lastRenderedPageBreak/>
        <w:t>Attitude</w:t>
      </w:r>
    </w:p>
    <w:p w14:paraId="4D51EFAD" w14:textId="77777777" w:rsidR="00555BEA" w:rsidRDefault="00555BEA" w:rsidP="00F9511B">
      <w:pPr>
        <w:keepNext/>
        <w:pBdr>
          <w:top w:val="nil"/>
          <w:left w:val="nil"/>
          <w:bottom w:val="nil"/>
          <w:right w:val="nil"/>
          <w:between w:val="nil"/>
        </w:pBdr>
        <w:spacing w:after="0" w:line="360" w:lineRule="auto"/>
        <w:rPr>
          <w:rFonts w:ascii="Garamond" w:eastAsia="Garamond" w:hAnsi="Garamond" w:cs="Garamond"/>
          <w:color w:val="000000"/>
        </w:rPr>
      </w:pPr>
      <w:r w:rsidRPr="00F9511B">
        <w:rPr>
          <w:rFonts w:ascii="Garamond" w:eastAsia="Garamond" w:hAnsi="Garamond" w:cs="Garamond"/>
          <w:b/>
          <w:bCs/>
          <w:color w:val="000000"/>
        </w:rPr>
        <w:t>Table 5.</w:t>
      </w:r>
      <w:r>
        <w:rPr>
          <w:rFonts w:ascii="Garamond" w:eastAsia="Garamond" w:hAnsi="Garamond" w:cs="Garamond"/>
          <w:color w:val="000000"/>
        </w:rPr>
        <w:t xml:space="preserve"> Distribution of Respondents Based on Attitudes towards Characteristics</w:t>
      </w:r>
    </w:p>
    <w:tbl>
      <w:tblPr>
        <w:tblStyle w:val="PlainTable2"/>
        <w:tblW w:w="8364"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09"/>
        <w:gridCol w:w="1276"/>
        <w:gridCol w:w="2126"/>
        <w:gridCol w:w="851"/>
        <w:gridCol w:w="992"/>
        <w:gridCol w:w="1418"/>
        <w:gridCol w:w="992"/>
      </w:tblGrid>
      <w:tr w:rsidR="00555BEA" w:rsidRPr="00555BEA" w14:paraId="1B05BBC8" w14:textId="77777777" w:rsidTr="00FC16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restart"/>
            <w:tcBorders>
              <w:bottom w:val="none" w:sz="0" w:space="0" w:color="auto"/>
            </w:tcBorders>
            <w:vAlign w:val="center"/>
          </w:tcPr>
          <w:p w14:paraId="5B649650"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No</w:t>
            </w:r>
          </w:p>
        </w:tc>
        <w:tc>
          <w:tcPr>
            <w:tcW w:w="3402" w:type="dxa"/>
            <w:gridSpan w:val="2"/>
            <w:vMerge w:val="restart"/>
            <w:tcBorders>
              <w:bottom w:val="none" w:sz="0" w:space="0" w:color="auto"/>
            </w:tcBorders>
            <w:vAlign w:val="center"/>
          </w:tcPr>
          <w:p w14:paraId="3CE76C6E" w14:textId="77777777" w:rsidR="00555BEA" w:rsidRPr="00555BEA" w:rsidRDefault="00555BEA" w:rsidP="001A124B">
            <w:pPr>
              <w:pBdr>
                <w:top w:val="nil"/>
                <w:left w:val="nil"/>
                <w:bottom w:val="nil"/>
                <w:right w:val="nil"/>
                <w:between w:val="nil"/>
              </w:pBdr>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Characteristics</w:t>
            </w:r>
          </w:p>
        </w:tc>
        <w:tc>
          <w:tcPr>
            <w:tcW w:w="3261" w:type="dxa"/>
            <w:gridSpan w:val="3"/>
            <w:tcBorders>
              <w:bottom w:val="none" w:sz="0" w:space="0" w:color="auto"/>
            </w:tcBorders>
            <w:vAlign w:val="center"/>
          </w:tcPr>
          <w:p w14:paraId="15378AFC" w14:textId="77777777" w:rsidR="00555BEA" w:rsidRPr="00555BEA" w:rsidRDefault="00555BEA" w:rsidP="001A124B">
            <w:pPr>
              <w:pBdr>
                <w:top w:val="nil"/>
                <w:left w:val="nil"/>
                <w:bottom w:val="nil"/>
                <w:right w:val="nil"/>
                <w:between w:val="nil"/>
              </w:pBdr>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Attitude Level</w:t>
            </w:r>
          </w:p>
        </w:tc>
        <w:tc>
          <w:tcPr>
            <w:tcW w:w="992" w:type="dxa"/>
            <w:vMerge w:val="restart"/>
            <w:tcBorders>
              <w:bottom w:val="none" w:sz="0" w:space="0" w:color="auto"/>
            </w:tcBorders>
            <w:vAlign w:val="center"/>
          </w:tcPr>
          <w:p w14:paraId="0EDBA2EB" w14:textId="77777777" w:rsidR="00555BEA" w:rsidRPr="00555BEA" w:rsidRDefault="00555BEA" w:rsidP="001A124B">
            <w:pPr>
              <w:pBdr>
                <w:top w:val="nil"/>
                <w:left w:val="nil"/>
                <w:bottom w:val="nil"/>
                <w:right w:val="nil"/>
                <w:between w:val="nil"/>
              </w:pBdr>
              <w:spacing w:after="0"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Total</w:t>
            </w:r>
          </w:p>
        </w:tc>
      </w:tr>
      <w:tr w:rsidR="00555BEA" w:rsidRPr="00555BEA" w14:paraId="0C3F8E84"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4601BA27"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3402" w:type="dxa"/>
            <w:gridSpan w:val="2"/>
            <w:vMerge/>
            <w:tcBorders>
              <w:top w:val="none" w:sz="0" w:space="0" w:color="auto"/>
              <w:bottom w:val="none" w:sz="0" w:space="0" w:color="auto"/>
            </w:tcBorders>
            <w:vAlign w:val="center"/>
          </w:tcPr>
          <w:p w14:paraId="4B4F437B"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851" w:type="dxa"/>
            <w:tcBorders>
              <w:top w:val="none" w:sz="0" w:space="0" w:color="auto"/>
              <w:bottom w:val="none" w:sz="0" w:space="0" w:color="auto"/>
            </w:tcBorders>
          </w:tcPr>
          <w:p w14:paraId="3ADCB34E"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Good</w:t>
            </w:r>
          </w:p>
        </w:tc>
        <w:tc>
          <w:tcPr>
            <w:tcW w:w="992" w:type="dxa"/>
            <w:tcBorders>
              <w:top w:val="none" w:sz="0" w:space="0" w:color="auto"/>
              <w:bottom w:val="none" w:sz="0" w:space="0" w:color="auto"/>
            </w:tcBorders>
          </w:tcPr>
          <w:p w14:paraId="3FD7873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Enough</w:t>
            </w:r>
          </w:p>
        </w:tc>
        <w:tc>
          <w:tcPr>
            <w:tcW w:w="1418" w:type="dxa"/>
            <w:tcBorders>
              <w:top w:val="none" w:sz="0" w:space="0" w:color="auto"/>
              <w:bottom w:val="none" w:sz="0" w:space="0" w:color="auto"/>
            </w:tcBorders>
          </w:tcPr>
          <w:p w14:paraId="4A6AEE3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Not Enough</w:t>
            </w:r>
          </w:p>
        </w:tc>
        <w:tc>
          <w:tcPr>
            <w:tcW w:w="992" w:type="dxa"/>
            <w:vMerge/>
            <w:tcBorders>
              <w:top w:val="none" w:sz="0" w:space="0" w:color="auto"/>
              <w:bottom w:val="none" w:sz="0" w:space="0" w:color="auto"/>
            </w:tcBorders>
          </w:tcPr>
          <w:p w14:paraId="0341BEC0" w14:textId="77777777" w:rsidR="00555BEA" w:rsidRPr="00555BEA" w:rsidRDefault="00555BEA" w:rsidP="001A124B">
            <w:pPr>
              <w:widowControl w:val="0"/>
              <w:pBdr>
                <w:top w:val="nil"/>
                <w:left w:val="nil"/>
                <w:bottom w:val="nil"/>
                <w:right w:val="nil"/>
                <w:between w:val="nil"/>
              </w:pBdr>
              <w:spacing w:after="0" w:line="360" w:lineRule="auto"/>
              <w:contextualSpacing/>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r>
      <w:tr w:rsidR="00555BEA" w:rsidRPr="00555BEA" w14:paraId="40A9DAC8"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14:paraId="7D4B0B5C"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1</w:t>
            </w:r>
          </w:p>
        </w:tc>
        <w:tc>
          <w:tcPr>
            <w:tcW w:w="1276" w:type="dxa"/>
            <w:vMerge w:val="restart"/>
            <w:vAlign w:val="center"/>
          </w:tcPr>
          <w:p w14:paraId="42FFBC1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Gender</w:t>
            </w:r>
          </w:p>
        </w:tc>
        <w:tc>
          <w:tcPr>
            <w:tcW w:w="2126" w:type="dxa"/>
            <w:vAlign w:val="center"/>
          </w:tcPr>
          <w:p w14:paraId="67E00D8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Man</w:t>
            </w:r>
          </w:p>
        </w:tc>
        <w:tc>
          <w:tcPr>
            <w:tcW w:w="851" w:type="dxa"/>
          </w:tcPr>
          <w:p w14:paraId="1973FD5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14</w:t>
            </w:r>
          </w:p>
        </w:tc>
        <w:tc>
          <w:tcPr>
            <w:tcW w:w="992" w:type="dxa"/>
          </w:tcPr>
          <w:p w14:paraId="11C9B6E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418" w:type="dxa"/>
          </w:tcPr>
          <w:p w14:paraId="027AE21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3F41215E"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15</w:t>
            </w:r>
          </w:p>
        </w:tc>
      </w:tr>
      <w:tr w:rsidR="00555BEA" w:rsidRPr="00555BEA" w14:paraId="6371860E"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4F3B0E03"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27955D63"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282C5FB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Woman</w:t>
            </w:r>
          </w:p>
        </w:tc>
        <w:tc>
          <w:tcPr>
            <w:tcW w:w="851" w:type="dxa"/>
            <w:tcBorders>
              <w:top w:val="none" w:sz="0" w:space="0" w:color="auto"/>
              <w:bottom w:val="none" w:sz="0" w:space="0" w:color="auto"/>
            </w:tcBorders>
          </w:tcPr>
          <w:p w14:paraId="496053D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28</w:t>
            </w:r>
          </w:p>
        </w:tc>
        <w:tc>
          <w:tcPr>
            <w:tcW w:w="992" w:type="dxa"/>
            <w:tcBorders>
              <w:top w:val="none" w:sz="0" w:space="0" w:color="auto"/>
              <w:bottom w:val="none" w:sz="0" w:space="0" w:color="auto"/>
            </w:tcBorders>
          </w:tcPr>
          <w:p w14:paraId="0F7CEB3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12</w:t>
            </w:r>
          </w:p>
        </w:tc>
        <w:tc>
          <w:tcPr>
            <w:tcW w:w="1418" w:type="dxa"/>
            <w:tcBorders>
              <w:top w:val="none" w:sz="0" w:space="0" w:color="auto"/>
              <w:bottom w:val="none" w:sz="0" w:space="0" w:color="auto"/>
            </w:tcBorders>
          </w:tcPr>
          <w:p w14:paraId="465993B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7583FC4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40</w:t>
            </w:r>
          </w:p>
        </w:tc>
      </w:tr>
      <w:tr w:rsidR="00555BEA" w:rsidRPr="00555BEA" w14:paraId="44535522"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14:paraId="1530C0B3"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2</w:t>
            </w:r>
          </w:p>
        </w:tc>
        <w:tc>
          <w:tcPr>
            <w:tcW w:w="1276" w:type="dxa"/>
            <w:vMerge w:val="restart"/>
            <w:vAlign w:val="center"/>
          </w:tcPr>
          <w:p w14:paraId="0A5D3EF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Age</w:t>
            </w:r>
          </w:p>
        </w:tc>
        <w:tc>
          <w:tcPr>
            <w:tcW w:w="2126" w:type="dxa"/>
            <w:vAlign w:val="center"/>
          </w:tcPr>
          <w:p w14:paraId="3644419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Late Adolescence</w:t>
            </w:r>
          </w:p>
        </w:tc>
        <w:tc>
          <w:tcPr>
            <w:tcW w:w="851" w:type="dxa"/>
          </w:tcPr>
          <w:p w14:paraId="73955E3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c>
          <w:tcPr>
            <w:tcW w:w="992" w:type="dxa"/>
          </w:tcPr>
          <w:p w14:paraId="444BBFA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Pr>
          <w:p w14:paraId="2903CCD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11D570C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r>
      <w:tr w:rsidR="00555BEA" w:rsidRPr="00555BEA" w14:paraId="30F0A76E"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4BF5DBF5"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32042158"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637FF08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Early Adulthood</w:t>
            </w:r>
          </w:p>
        </w:tc>
        <w:tc>
          <w:tcPr>
            <w:tcW w:w="851" w:type="dxa"/>
            <w:tcBorders>
              <w:top w:val="none" w:sz="0" w:space="0" w:color="auto"/>
              <w:bottom w:val="none" w:sz="0" w:space="0" w:color="auto"/>
            </w:tcBorders>
          </w:tcPr>
          <w:p w14:paraId="3E3C4B4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11</w:t>
            </w:r>
          </w:p>
        </w:tc>
        <w:tc>
          <w:tcPr>
            <w:tcW w:w="992" w:type="dxa"/>
            <w:tcBorders>
              <w:top w:val="none" w:sz="0" w:space="0" w:color="auto"/>
              <w:bottom w:val="none" w:sz="0" w:space="0" w:color="auto"/>
            </w:tcBorders>
          </w:tcPr>
          <w:p w14:paraId="2A20DEE0"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1418" w:type="dxa"/>
            <w:tcBorders>
              <w:top w:val="none" w:sz="0" w:space="0" w:color="auto"/>
              <w:bottom w:val="none" w:sz="0" w:space="0" w:color="auto"/>
            </w:tcBorders>
          </w:tcPr>
          <w:p w14:paraId="4A13096C"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575D4A1A"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15</w:t>
            </w:r>
          </w:p>
        </w:tc>
      </w:tr>
      <w:tr w:rsidR="00555BEA" w:rsidRPr="00555BEA" w14:paraId="01DA1580"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1B53F497"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7EDAFF39"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327E1AA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Late Adulthood</w:t>
            </w:r>
          </w:p>
        </w:tc>
        <w:tc>
          <w:tcPr>
            <w:tcW w:w="851" w:type="dxa"/>
          </w:tcPr>
          <w:p w14:paraId="2AD156B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17</w:t>
            </w:r>
          </w:p>
        </w:tc>
        <w:tc>
          <w:tcPr>
            <w:tcW w:w="992" w:type="dxa"/>
          </w:tcPr>
          <w:p w14:paraId="3BF80FA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c>
          <w:tcPr>
            <w:tcW w:w="1418" w:type="dxa"/>
          </w:tcPr>
          <w:p w14:paraId="367D78D2"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0690F37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23</w:t>
            </w:r>
          </w:p>
        </w:tc>
      </w:tr>
      <w:tr w:rsidR="00555BEA" w:rsidRPr="00555BEA" w14:paraId="4A9CF2E6"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2677721E"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4F61BF98"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73FFFAC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Early Elderly</w:t>
            </w:r>
          </w:p>
        </w:tc>
        <w:tc>
          <w:tcPr>
            <w:tcW w:w="851" w:type="dxa"/>
            <w:tcBorders>
              <w:top w:val="none" w:sz="0" w:space="0" w:color="auto"/>
              <w:bottom w:val="none" w:sz="0" w:space="0" w:color="auto"/>
            </w:tcBorders>
          </w:tcPr>
          <w:p w14:paraId="3E44152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c>
          <w:tcPr>
            <w:tcW w:w="992" w:type="dxa"/>
            <w:tcBorders>
              <w:top w:val="none" w:sz="0" w:space="0" w:color="auto"/>
              <w:bottom w:val="none" w:sz="0" w:space="0" w:color="auto"/>
            </w:tcBorders>
          </w:tcPr>
          <w:p w14:paraId="54EC855C"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418" w:type="dxa"/>
            <w:tcBorders>
              <w:top w:val="none" w:sz="0" w:space="0" w:color="auto"/>
              <w:bottom w:val="none" w:sz="0" w:space="0" w:color="auto"/>
            </w:tcBorders>
          </w:tcPr>
          <w:p w14:paraId="10C4EE7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6DFE29F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8</w:t>
            </w:r>
          </w:p>
        </w:tc>
      </w:tr>
      <w:tr w:rsidR="00555BEA" w:rsidRPr="00555BEA" w14:paraId="5D7737A0"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021F394D"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02E5E6FD"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48DB2B3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Late Elderly</w:t>
            </w:r>
          </w:p>
        </w:tc>
        <w:tc>
          <w:tcPr>
            <w:tcW w:w="851" w:type="dxa"/>
          </w:tcPr>
          <w:p w14:paraId="1B169DE5"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4DB42B1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1418" w:type="dxa"/>
          </w:tcPr>
          <w:p w14:paraId="13E6D7F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19F8162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555BEA" w:rsidRPr="00555BEA" w14:paraId="09B3E3E8"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bottom w:val="none" w:sz="0" w:space="0" w:color="auto"/>
            </w:tcBorders>
            <w:vAlign w:val="center"/>
          </w:tcPr>
          <w:p w14:paraId="419DE452"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3</w:t>
            </w:r>
          </w:p>
        </w:tc>
        <w:tc>
          <w:tcPr>
            <w:tcW w:w="1276" w:type="dxa"/>
            <w:vMerge w:val="restart"/>
            <w:tcBorders>
              <w:top w:val="none" w:sz="0" w:space="0" w:color="auto"/>
              <w:bottom w:val="none" w:sz="0" w:space="0" w:color="auto"/>
            </w:tcBorders>
            <w:vAlign w:val="center"/>
          </w:tcPr>
          <w:p w14:paraId="614CE68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Level of education</w:t>
            </w:r>
          </w:p>
        </w:tc>
        <w:tc>
          <w:tcPr>
            <w:tcW w:w="2126" w:type="dxa"/>
            <w:tcBorders>
              <w:top w:val="none" w:sz="0" w:space="0" w:color="auto"/>
              <w:bottom w:val="none" w:sz="0" w:space="0" w:color="auto"/>
            </w:tcBorders>
            <w:vAlign w:val="center"/>
          </w:tcPr>
          <w:p w14:paraId="5E354AA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Junior High School</w:t>
            </w:r>
          </w:p>
        </w:tc>
        <w:tc>
          <w:tcPr>
            <w:tcW w:w="851" w:type="dxa"/>
            <w:tcBorders>
              <w:top w:val="none" w:sz="0" w:space="0" w:color="auto"/>
              <w:bottom w:val="none" w:sz="0" w:space="0" w:color="auto"/>
            </w:tcBorders>
          </w:tcPr>
          <w:p w14:paraId="3D7D883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Borders>
              <w:top w:val="none" w:sz="0" w:space="0" w:color="auto"/>
              <w:bottom w:val="none" w:sz="0" w:space="0" w:color="auto"/>
            </w:tcBorders>
          </w:tcPr>
          <w:p w14:paraId="13DF6B8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Borders>
              <w:top w:val="none" w:sz="0" w:space="0" w:color="auto"/>
              <w:bottom w:val="none" w:sz="0" w:space="0" w:color="auto"/>
            </w:tcBorders>
          </w:tcPr>
          <w:p w14:paraId="7D2C700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2CD1DA6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555BEA" w:rsidRPr="00555BEA" w14:paraId="6B78B951"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553AE9E3"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502B828E"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303C5A4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Senior High School</w:t>
            </w:r>
          </w:p>
        </w:tc>
        <w:tc>
          <w:tcPr>
            <w:tcW w:w="851" w:type="dxa"/>
          </w:tcPr>
          <w:p w14:paraId="1661183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c>
          <w:tcPr>
            <w:tcW w:w="992" w:type="dxa"/>
          </w:tcPr>
          <w:p w14:paraId="25EA9A1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418" w:type="dxa"/>
          </w:tcPr>
          <w:p w14:paraId="342679B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43172F2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r>
      <w:tr w:rsidR="00555BEA" w:rsidRPr="00555BEA" w14:paraId="4477D288"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116A4394"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34AF2EA7"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3F9D84C0"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Associate Degree</w:t>
            </w:r>
          </w:p>
        </w:tc>
        <w:tc>
          <w:tcPr>
            <w:tcW w:w="851" w:type="dxa"/>
            <w:tcBorders>
              <w:top w:val="none" w:sz="0" w:space="0" w:color="auto"/>
              <w:bottom w:val="none" w:sz="0" w:space="0" w:color="auto"/>
            </w:tcBorders>
          </w:tcPr>
          <w:p w14:paraId="18FA898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15</w:t>
            </w:r>
          </w:p>
        </w:tc>
        <w:tc>
          <w:tcPr>
            <w:tcW w:w="992" w:type="dxa"/>
            <w:tcBorders>
              <w:top w:val="none" w:sz="0" w:space="0" w:color="auto"/>
              <w:bottom w:val="none" w:sz="0" w:space="0" w:color="auto"/>
            </w:tcBorders>
          </w:tcPr>
          <w:p w14:paraId="5E7BAAD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9</w:t>
            </w:r>
          </w:p>
        </w:tc>
        <w:tc>
          <w:tcPr>
            <w:tcW w:w="1418" w:type="dxa"/>
            <w:tcBorders>
              <w:top w:val="none" w:sz="0" w:space="0" w:color="auto"/>
              <w:bottom w:val="none" w:sz="0" w:space="0" w:color="auto"/>
            </w:tcBorders>
          </w:tcPr>
          <w:p w14:paraId="49567C1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15E31A6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24</w:t>
            </w:r>
          </w:p>
        </w:tc>
      </w:tr>
      <w:tr w:rsidR="00555BEA" w:rsidRPr="00555BEA" w14:paraId="5CCE20E1"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43D47656"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48CC8D4B"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6A555E1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Applied Bachelor</w:t>
            </w:r>
          </w:p>
        </w:tc>
        <w:tc>
          <w:tcPr>
            <w:tcW w:w="851" w:type="dxa"/>
          </w:tcPr>
          <w:p w14:paraId="6807B57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992" w:type="dxa"/>
          </w:tcPr>
          <w:p w14:paraId="0ACA05B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1418" w:type="dxa"/>
          </w:tcPr>
          <w:p w14:paraId="034991F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3870DCA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r>
      <w:tr w:rsidR="00555BEA" w:rsidRPr="00555BEA" w14:paraId="046BB7C0"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6AD02E47"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4F8C5221"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55378B09"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Bachelor</w:t>
            </w:r>
          </w:p>
        </w:tc>
        <w:tc>
          <w:tcPr>
            <w:tcW w:w="851" w:type="dxa"/>
            <w:tcBorders>
              <w:top w:val="none" w:sz="0" w:space="0" w:color="auto"/>
              <w:bottom w:val="none" w:sz="0" w:space="0" w:color="auto"/>
            </w:tcBorders>
          </w:tcPr>
          <w:p w14:paraId="4EDDCA4F"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14</w:t>
            </w:r>
          </w:p>
        </w:tc>
        <w:tc>
          <w:tcPr>
            <w:tcW w:w="992" w:type="dxa"/>
            <w:tcBorders>
              <w:top w:val="none" w:sz="0" w:space="0" w:color="auto"/>
              <w:bottom w:val="none" w:sz="0" w:space="0" w:color="auto"/>
            </w:tcBorders>
          </w:tcPr>
          <w:p w14:paraId="2DA7241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418" w:type="dxa"/>
            <w:tcBorders>
              <w:top w:val="none" w:sz="0" w:space="0" w:color="auto"/>
              <w:bottom w:val="none" w:sz="0" w:space="0" w:color="auto"/>
            </w:tcBorders>
          </w:tcPr>
          <w:p w14:paraId="001FAB8C"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5A04C7A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15</w:t>
            </w:r>
          </w:p>
        </w:tc>
      </w:tr>
      <w:tr w:rsidR="00555BEA" w:rsidRPr="00555BEA" w14:paraId="1C14B047"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3374E218"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2612860A"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2FAD06E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Master</w:t>
            </w:r>
          </w:p>
        </w:tc>
        <w:tc>
          <w:tcPr>
            <w:tcW w:w="851" w:type="dxa"/>
          </w:tcPr>
          <w:p w14:paraId="1BED7FA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992" w:type="dxa"/>
          </w:tcPr>
          <w:p w14:paraId="014770C2"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Pr>
          <w:p w14:paraId="2CBD6758"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79325C8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r>
      <w:tr w:rsidR="00555BEA" w:rsidRPr="00555BEA" w14:paraId="274E1C26"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bottom w:val="none" w:sz="0" w:space="0" w:color="auto"/>
            </w:tcBorders>
            <w:vAlign w:val="center"/>
          </w:tcPr>
          <w:p w14:paraId="60BB4E03"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4</w:t>
            </w:r>
          </w:p>
        </w:tc>
        <w:tc>
          <w:tcPr>
            <w:tcW w:w="1276" w:type="dxa"/>
            <w:vMerge w:val="restart"/>
            <w:tcBorders>
              <w:top w:val="none" w:sz="0" w:space="0" w:color="auto"/>
              <w:bottom w:val="none" w:sz="0" w:space="0" w:color="auto"/>
            </w:tcBorders>
            <w:vAlign w:val="center"/>
          </w:tcPr>
          <w:p w14:paraId="0CACA81A"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Profession</w:t>
            </w:r>
          </w:p>
        </w:tc>
        <w:tc>
          <w:tcPr>
            <w:tcW w:w="2126" w:type="dxa"/>
            <w:tcBorders>
              <w:top w:val="none" w:sz="0" w:space="0" w:color="auto"/>
              <w:bottom w:val="none" w:sz="0" w:space="0" w:color="auto"/>
            </w:tcBorders>
            <w:vAlign w:val="center"/>
          </w:tcPr>
          <w:p w14:paraId="56B9AD3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Administration</w:t>
            </w:r>
          </w:p>
        </w:tc>
        <w:tc>
          <w:tcPr>
            <w:tcW w:w="851" w:type="dxa"/>
            <w:tcBorders>
              <w:top w:val="none" w:sz="0" w:space="0" w:color="auto"/>
              <w:bottom w:val="none" w:sz="0" w:space="0" w:color="auto"/>
            </w:tcBorders>
          </w:tcPr>
          <w:p w14:paraId="2C36BA3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Borders>
              <w:top w:val="none" w:sz="0" w:space="0" w:color="auto"/>
              <w:bottom w:val="none" w:sz="0" w:space="0" w:color="auto"/>
            </w:tcBorders>
          </w:tcPr>
          <w:p w14:paraId="4A91F83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Borders>
              <w:top w:val="none" w:sz="0" w:space="0" w:color="auto"/>
              <w:bottom w:val="none" w:sz="0" w:space="0" w:color="auto"/>
            </w:tcBorders>
          </w:tcPr>
          <w:p w14:paraId="5CED217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10299BE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555BEA" w:rsidRPr="00555BEA" w14:paraId="037382C8"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7A9A989F"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17DDFC28"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3A1F4FB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Pharmacist</w:t>
            </w:r>
          </w:p>
        </w:tc>
        <w:tc>
          <w:tcPr>
            <w:tcW w:w="851" w:type="dxa"/>
          </w:tcPr>
          <w:p w14:paraId="5E4105E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c>
          <w:tcPr>
            <w:tcW w:w="992" w:type="dxa"/>
          </w:tcPr>
          <w:p w14:paraId="7F8B54A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Pr>
          <w:p w14:paraId="1F3AF17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334F476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r>
      <w:tr w:rsidR="00555BEA" w:rsidRPr="00555BEA" w14:paraId="10D4F130"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016CDAE6"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48164B6C"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1A584BF9"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ATLM</w:t>
            </w:r>
          </w:p>
        </w:tc>
        <w:tc>
          <w:tcPr>
            <w:tcW w:w="851" w:type="dxa"/>
            <w:tcBorders>
              <w:top w:val="none" w:sz="0" w:space="0" w:color="auto"/>
              <w:bottom w:val="none" w:sz="0" w:space="0" w:color="auto"/>
            </w:tcBorders>
          </w:tcPr>
          <w:p w14:paraId="48675750"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Borders>
              <w:top w:val="none" w:sz="0" w:space="0" w:color="auto"/>
              <w:bottom w:val="none" w:sz="0" w:space="0" w:color="auto"/>
            </w:tcBorders>
          </w:tcPr>
          <w:p w14:paraId="3F8D795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Borders>
              <w:top w:val="none" w:sz="0" w:space="0" w:color="auto"/>
              <w:bottom w:val="none" w:sz="0" w:space="0" w:color="auto"/>
            </w:tcBorders>
          </w:tcPr>
          <w:p w14:paraId="31740FCA"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4C8E796C"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555BEA" w:rsidRPr="00555BEA" w14:paraId="7D8F3125"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543586D1"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2481EB9A"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2738271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Midwife</w:t>
            </w:r>
          </w:p>
        </w:tc>
        <w:tc>
          <w:tcPr>
            <w:tcW w:w="851" w:type="dxa"/>
          </w:tcPr>
          <w:p w14:paraId="3040ADBE"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c>
          <w:tcPr>
            <w:tcW w:w="992" w:type="dxa"/>
          </w:tcPr>
          <w:p w14:paraId="3C562CB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5</w:t>
            </w:r>
          </w:p>
        </w:tc>
        <w:tc>
          <w:tcPr>
            <w:tcW w:w="1418" w:type="dxa"/>
          </w:tcPr>
          <w:p w14:paraId="50FD2D89"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1BC8B33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12</w:t>
            </w:r>
          </w:p>
        </w:tc>
      </w:tr>
      <w:tr w:rsidR="00555BEA" w:rsidRPr="00555BEA" w14:paraId="0431C300"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795D4A2E"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0AF3BCBA"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439BE25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Cleaning Service</w:t>
            </w:r>
          </w:p>
        </w:tc>
        <w:tc>
          <w:tcPr>
            <w:tcW w:w="851" w:type="dxa"/>
            <w:tcBorders>
              <w:top w:val="none" w:sz="0" w:space="0" w:color="auto"/>
              <w:bottom w:val="none" w:sz="0" w:space="0" w:color="auto"/>
            </w:tcBorders>
          </w:tcPr>
          <w:p w14:paraId="4E471B5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992" w:type="dxa"/>
            <w:tcBorders>
              <w:top w:val="none" w:sz="0" w:space="0" w:color="auto"/>
              <w:bottom w:val="none" w:sz="0" w:space="0" w:color="auto"/>
            </w:tcBorders>
          </w:tcPr>
          <w:p w14:paraId="18F0BC7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Borders>
              <w:top w:val="none" w:sz="0" w:space="0" w:color="auto"/>
              <w:bottom w:val="none" w:sz="0" w:space="0" w:color="auto"/>
            </w:tcBorders>
          </w:tcPr>
          <w:p w14:paraId="667BBFC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34783FBB"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r>
      <w:tr w:rsidR="00555BEA" w:rsidRPr="00555BEA" w14:paraId="75E06E3B"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04129738"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583FE601"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2667AA1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Doctor</w:t>
            </w:r>
          </w:p>
        </w:tc>
        <w:tc>
          <w:tcPr>
            <w:tcW w:w="851" w:type="dxa"/>
          </w:tcPr>
          <w:p w14:paraId="71F4827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c>
          <w:tcPr>
            <w:tcW w:w="992" w:type="dxa"/>
          </w:tcPr>
          <w:p w14:paraId="4C3D770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418" w:type="dxa"/>
          </w:tcPr>
          <w:p w14:paraId="6D0C2E1E"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0752284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7</w:t>
            </w:r>
          </w:p>
        </w:tc>
      </w:tr>
      <w:tr w:rsidR="00555BEA" w:rsidRPr="00555BEA" w14:paraId="06014C20"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3DF1B4FC"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7CB90295"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60A5029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Nutritionist</w:t>
            </w:r>
          </w:p>
        </w:tc>
        <w:tc>
          <w:tcPr>
            <w:tcW w:w="851" w:type="dxa"/>
            <w:tcBorders>
              <w:top w:val="none" w:sz="0" w:space="0" w:color="auto"/>
              <w:bottom w:val="none" w:sz="0" w:space="0" w:color="auto"/>
            </w:tcBorders>
          </w:tcPr>
          <w:p w14:paraId="3560590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Borders>
              <w:top w:val="none" w:sz="0" w:space="0" w:color="auto"/>
              <w:bottom w:val="none" w:sz="0" w:space="0" w:color="auto"/>
            </w:tcBorders>
          </w:tcPr>
          <w:p w14:paraId="4C435D8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418" w:type="dxa"/>
            <w:tcBorders>
              <w:top w:val="none" w:sz="0" w:space="0" w:color="auto"/>
              <w:bottom w:val="none" w:sz="0" w:space="0" w:color="auto"/>
            </w:tcBorders>
          </w:tcPr>
          <w:p w14:paraId="4F678F35"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52EDC091"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r>
      <w:tr w:rsidR="00555BEA" w:rsidRPr="00555BEA" w14:paraId="5876DC5B"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7AD22C1B"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6BF308C2"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65A3EB8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Nurse</w:t>
            </w:r>
          </w:p>
        </w:tc>
        <w:tc>
          <w:tcPr>
            <w:tcW w:w="851" w:type="dxa"/>
          </w:tcPr>
          <w:p w14:paraId="5C901115"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c>
          <w:tcPr>
            <w:tcW w:w="992" w:type="dxa"/>
          </w:tcPr>
          <w:p w14:paraId="1DEC277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5</w:t>
            </w:r>
          </w:p>
        </w:tc>
        <w:tc>
          <w:tcPr>
            <w:tcW w:w="1418" w:type="dxa"/>
          </w:tcPr>
          <w:p w14:paraId="07B231EF"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5A32586B"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9</w:t>
            </w:r>
          </w:p>
        </w:tc>
      </w:tr>
      <w:tr w:rsidR="00555BEA" w:rsidRPr="00555BEA" w14:paraId="76285A87"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62F086F1"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4075BD5E"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7FEE959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Health Promotion</w:t>
            </w:r>
          </w:p>
        </w:tc>
        <w:tc>
          <w:tcPr>
            <w:tcW w:w="851" w:type="dxa"/>
            <w:tcBorders>
              <w:top w:val="none" w:sz="0" w:space="0" w:color="auto"/>
              <w:bottom w:val="none" w:sz="0" w:space="0" w:color="auto"/>
            </w:tcBorders>
          </w:tcPr>
          <w:p w14:paraId="7EEE996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5</w:t>
            </w:r>
          </w:p>
        </w:tc>
        <w:tc>
          <w:tcPr>
            <w:tcW w:w="992" w:type="dxa"/>
            <w:tcBorders>
              <w:top w:val="none" w:sz="0" w:space="0" w:color="auto"/>
              <w:bottom w:val="none" w:sz="0" w:space="0" w:color="auto"/>
            </w:tcBorders>
          </w:tcPr>
          <w:p w14:paraId="227FD78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Borders>
              <w:top w:val="none" w:sz="0" w:space="0" w:color="auto"/>
              <w:bottom w:val="none" w:sz="0" w:space="0" w:color="auto"/>
            </w:tcBorders>
          </w:tcPr>
          <w:p w14:paraId="1D7BA75D"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2BD06E6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5</w:t>
            </w:r>
          </w:p>
        </w:tc>
      </w:tr>
      <w:tr w:rsidR="00555BEA" w:rsidRPr="00555BEA" w14:paraId="075D782A"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0525E994"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1A7E820C"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024FD171"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Medical records</w:t>
            </w:r>
          </w:p>
        </w:tc>
        <w:tc>
          <w:tcPr>
            <w:tcW w:w="851" w:type="dxa"/>
          </w:tcPr>
          <w:p w14:paraId="4B228FAD"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c>
          <w:tcPr>
            <w:tcW w:w="992" w:type="dxa"/>
          </w:tcPr>
          <w:p w14:paraId="07EEBF7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w:t>
            </w:r>
          </w:p>
        </w:tc>
        <w:tc>
          <w:tcPr>
            <w:tcW w:w="1418" w:type="dxa"/>
          </w:tcPr>
          <w:p w14:paraId="6D33D3A7"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784B99F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w:t>
            </w:r>
          </w:p>
        </w:tc>
      </w:tr>
      <w:tr w:rsidR="00555BEA" w:rsidRPr="00555BEA" w14:paraId="770CC944"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tcBorders>
              <w:top w:val="none" w:sz="0" w:space="0" w:color="auto"/>
              <w:bottom w:val="none" w:sz="0" w:space="0" w:color="auto"/>
            </w:tcBorders>
            <w:vAlign w:val="center"/>
          </w:tcPr>
          <w:p w14:paraId="27D78CFF"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tcBorders>
              <w:top w:val="none" w:sz="0" w:space="0" w:color="auto"/>
              <w:bottom w:val="none" w:sz="0" w:space="0" w:color="auto"/>
            </w:tcBorders>
            <w:vAlign w:val="center"/>
          </w:tcPr>
          <w:p w14:paraId="1348CCC9"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p>
        </w:tc>
        <w:tc>
          <w:tcPr>
            <w:tcW w:w="2126" w:type="dxa"/>
            <w:tcBorders>
              <w:top w:val="none" w:sz="0" w:space="0" w:color="auto"/>
              <w:bottom w:val="none" w:sz="0" w:space="0" w:color="auto"/>
            </w:tcBorders>
            <w:vAlign w:val="center"/>
          </w:tcPr>
          <w:p w14:paraId="6AE4ECB2"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Sanitarian</w:t>
            </w:r>
          </w:p>
        </w:tc>
        <w:tc>
          <w:tcPr>
            <w:tcW w:w="851" w:type="dxa"/>
            <w:tcBorders>
              <w:top w:val="none" w:sz="0" w:space="0" w:color="auto"/>
              <w:bottom w:val="none" w:sz="0" w:space="0" w:color="auto"/>
            </w:tcBorders>
          </w:tcPr>
          <w:p w14:paraId="6B5952E9"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Borders>
              <w:top w:val="none" w:sz="0" w:space="0" w:color="auto"/>
              <w:bottom w:val="none" w:sz="0" w:space="0" w:color="auto"/>
            </w:tcBorders>
          </w:tcPr>
          <w:p w14:paraId="5CCEA45C"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Borders>
              <w:top w:val="none" w:sz="0" w:space="0" w:color="auto"/>
              <w:bottom w:val="none" w:sz="0" w:space="0" w:color="auto"/>
            </w:tcBorders>
          </w:tcPr>
          <w:p w14:paraId="7E845707"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360BA02E"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555BEA" w:rsidRPr="00555BEA" w14:paraId="0A0944D4"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40923DA0"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4552E9C8"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18DF828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Security guard</w:t>
            </w:r>
          </w:p>
        </w:tc>
        <w:tc>
          <w:tcPr>
            <w:tcW w:w="851" w:type="dxa"/>
          </w:tcPr>
          <w:p w14:paraId="519EA1CC"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c>
          <w:tcPr>
            <w:tcW w:w="992" w:type="dxa"/>
          </w:tcPr>
          <w:p w14:paraId="4DB1F084"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1418" w:type="dxa"/>
          </w:tcPr>
          <w:p w14:paraId="3E64D6E3"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3D94A1A0"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2</w:t>
            </w:r>
          </w:p>
        </w:tc>
      </w:tr>
      <w:tr w:rsidR="00555BEA" w:rsidRPr="00555BEA" w14:paraId="3E4F8C63"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vMerge w:val="restart"/>
            <w:tcBorders>
              <w:top w:val="none" w:sz="0" w:space="0" w:color="auto"/>
              <w:bottom w:val="none" w:sz="0" w:space="0" w:color="auto"/>
            </w:tcBorders>
            <w:vAlign w:val="center"/>
          </w:tcPr>
          <w:p w14:paraId="20A23A5B" w14:textId="77777777" w:rsidR="00555BEA" w:rsidRPr="00555BEA" w:rsidRDefault="00555BEA" w:rsidP="001A124B">
            <w:pPr>
              <w:pBdr>
                <w:top w:val="nil"/>
                <w:left w:val="nil"/>
                <w:bottom w:val="nil"/>
                <w:right w:val="nil"/>
                <w:between w:val="nil"/>
              </w:pBdr>
              <w:spacing w:after="0" w:line="360" w:lineRule="auto"/>
              <w:contextualSpacing/>
              <w:jc w:val="center"/>
              <w:rPr>
                <w:rFonts w:ascii="Garamond" w:eastAsia="Garamond" w:hAnsi="Garamond" w:cs="Garamond"/>
                <w:b w:val="0"/>
                <w:color w:val="000000"/>
              </w:rPr>
            </w:pPr>
            <w:r w:rsidRPr="00555BEA">
              <w:rPr>
                <w:rFonts w:ascii="Garamond" w:eastAsia="Garamond" w:hAnsi="Garamond" w:cs="Garamond"/>
                <w:b w:val="0"/>
                <w:color w:val="000000"/>
              </w:rPr>
              <w:t>5</w:t>
            </w:r>
          </w:p>
        </w:tc>
        <w:tc>
          <w:tcPr>
            <w:tcW w:w="1276" w:type="dxa"/>
            <w:vMerge w:val="restart"/>
            <w:tcBorders>
              <w:top w:val="none" w:sz="0" w:space="0" w:color="auto"/>
              <w:bottom w:val="none" w:sz="0" w:space="0" w:color="auto"/>
            </w:tcBorders>
            <w:vAlign w:val="center"/>
          </w:tcPr>
          <w:p w14:paraId="0AA57786"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Training</w:t>
            </w:r>
          </w:p>
        </w:tc>
        <w:tc>
          <w:tcPr>
            <w:tcW w:w="2126" w:type="dxa"/>
            <w:tcBorders>
              <w:top w:val="none" w:sz="0" w:space="0" w:color="auto"/>
              <w:bottom w:val="none" w:sz="0" w:space="0" w:color="auto"/>
            </w:tcBorders>
            <w:vAlign w:val="center"/>
          </w:tcPr>
          <w:p w14:paraId="08E7079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Once</w:t>
            </w:r>
          </w:p>
        </w:tc>
        <w:tc>
          <w:tcPr>
            <w:tcW w:w="851" w:type="dxa"/>
            <w:tcBorders>
              <w:top w:val="none" w:sz="0" w:space="0" w:color="auto"/>
              <w:bottom w:val="none" w:sz="0" w:space="0" w:color="auto"/>
            </w:tcBorders>
          </w:tcPr>
          <w:p w14:paraId="221A7F93"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39</w:t>
            </w:r>
          </w:p>
        </w:tc>
        <w:tc>
          <w:tcPr>
            <w:tcW w:w="992" w:type="dxa"/>
            <w:tcBorders>
              <w:top w:val="none" w:sz="0" w:space="0" w:color="auto"/>
              <w:bottom w:val="none" w:sz="0" w:space="0" w:color="auto"/>
            </w:tcBorders>
          </w:tcPr>
          <w:p w14:paraId="6D9CF6D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10</w:t>
            </w:r>
          </w:p>
        </w:tc>
        <w:tc>
          <w:tcPr>
            <w:tcW w:w="1418" w:type="dxa"/>
            <w:tcBorders>
              <w:top w:val="none" w:sz="0" w:space="0" w:color="auto"/>
              <w:bottom w:val="none" w:sz="0" w:space="0" w:color="auto"/>
            </w:tcBorders>
          </w:tcPr>
          <w:p w14:paraId="39B60758"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Borders>
              <w:top w:val="none" w:sz="0" w:space="0" w:color="auto"/>
              <w:bottom w:val="none" w:sz="0" w:space="0" w:color="auto"/>
            </w:tcBorders>
          </w:tcPr>
          <w:p w14:paraId="17449D34" w14:textId="77777777" w:rsidR="00555BEA" w:rsidRPr="00555BEA" w:rsidRDefault="00555BEA" w:rsidP="001A124B">
            <w:pPr>
              <w:pBdr>
                <w:top w:val="nil"/>
                <w:left w:val="nil"/>
                <w:bottom w:val="nil"/>
                <w:right w:val="nil"/>
                <w:between w:val="nil"/>
              </w:pBdr>
              <w:spacing w:after="0"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49</w:t>
            </w:r>
          </w:p>
        </w:tc>
      </w:tr>
      <w:tr w:rsidR="00555BEA" w:rsidRPr="00555BEA" w14:paraId="0A445B00"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0CC98A29" w14:textId="77777777" w:rsidR="00555BEA" w:rsidRPr="00555BEA" w:rsidRDefault="00555BEA" w:rsidP="001A124B">
            <w:pPr>
              <w:widowControl w:val="0"/>
              <w:pBdr>
                <w:top w:val="nil"/>
                <w:left w:val="nil"/>
                <w:bottom w:val="nil"/>
                <w:right w:val="nil"/>
                <w:between w:val="nil"/>
              </w:pBdr>
              <w:spacing w:after="0" w:line="360" w:lineRule="auto"/>
              <w:contextualSpacing/>
              <w:jc w:val="center"/>
              <w:rPr>
                <w:rFonts w:ascii="Garamond" w:eastAsia="Garamond" w:hAnsi="Garamond" w:cs="Garamond"/>
                <w:b w:val="0"/>
                <w:color w:val="000000"/>
              </w:rPr>
            </w:pPr>
          </w:p>
        </w:tc>
        <w:tc>
          <w:tcPr>
            <w:tcW w:w="1276" w:type="dxa"/>
            <w:vMerge/>
            <w:vAlign w:val="center"/>
          </w:tcPr>
          <w:p w14:paraId="2AC5F25B" w14:textId="77777777" w:rsidR="00555BEA" w:rsidRPr="00555BEA" w:rsidRDefault="00555BEA" w:rsidP="001A124B">
            <w:pPr>
              <w:widowControl w:val="0"/>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p>
        </w:tc>
        <w:tc>
          <w:tcPr>
            <w:tcW w:w="2126" w:type="dxa"/>
            <w:vAlign w:val="center"/>
          </w:tcPr>
          <w:p w14:paraId="06EF4E0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Never</w:t>
            </w:r>
          </w:p>
        </w:tc>
        <w:tc>
          <w:tcPr>
            <w:tcW w:w="851" w:type="dxa"/>
          </w:tcPr>
          <w:p w14:paraId="2591022A"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c>
          <w:tcPr>
            <w:tcW w:w="992" w:type="dxa"/>
          </w:tcPr>
          <w:p w14:paraId="470CD1C2"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3</w:t>
            </w:r>
          </w:p>
        </w:tc>
        <w:tc>
          <w:tcPr>
            <w:tcW w:w="1418" w:type="dxa"/>
          </w:tcPr>
          <w:p w14:paraId="51D7EAC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0</w:t>
            </w:r>
          </w:p>
        </w:tc>
        <w:tc>
          <w:tcPr>
            <w:tcW w:w="992" w:type="dxa"/>
          </w:tcPr>
          <w:p w14:paraId="63568BF6" w14:textId="77777777" w:rsidR="00555BEA" w:rsidRPr="00555BEA" w:rsidRDefault="00555BEA" w:rsidP="001A124B">
            <w:pPr>
              <w:pBdr>
                <w:top w:val="nil"/>
                <w:left w:val="nil"/>
                <w:bottom w:val="nil"/>
                <w:right w:val="nil"/>
                <w:between w:val="nil"/>
              </w:pBdr>
              <w:spacing w:after="0"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Times New Roman" w:hAnsi="Garamond" w:cs="Times New Roman"/>
                <w:bCs/>
                <w:color w:val="000000"/>
              </w:rPr>
              <w:t>6</w:t>
            </w:r>
          </w:p>
        </w:tc>
      </w:tr>
    </w:tbl>
    <w:p w14:paraId="7B63C16C" w14:textId="77777777" w:rsidR="00555BEA" w:rsidRDefault="00555BEA" w:rsidP="00555BEA">
      <w:pPr>
        <w:spacing w:after="0" w:line="360" w:lineRule="auto"/>
        <w:jc w:val="both"/>
        <w:rPr>
          <w:rFonts w:ascii="Garamond" w:eastAsia="Garamond" w:hAnsi="Garamond" w:cs="Garamond"/>
          <w:color w:val="000000"/>
        </w:rPr>
      </w:pPr>
    </w:p>
    <w:p w14:paraId="3D0055CE" w14:textId="77777777" w:rsidR="00555BEA" w:rsidRDefault="00555BEA" w:rsidP="00F9511B">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The table shows that there are 42 respondents (76.4%) in the good category. The analysis results show that the workforce is very well prepared to deal with fires. All pre-disaster activities such as caring for other people, efforts to respond to fires, to training and simulations.</w:t>
      </w:r>
    </w:p>
    <w:p w14:paraId="50E88631" w14:textId="77777777" w:rsidR="00555BEA" w:rsidRDefault="00555BEA" w:rsidP="00F9511B">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lastRenderedPageBreak/>
        <w:t>14 male workers (93%) had an attitude in the "good" category. A good attitude is characterized by the implementation of fire management. Men tend to do more exploration than women. Personal experience as a factor influencing attitudes will be obtained as much as possible.</w:t>
      </w:r>
    </w:p>
    <w:p w14:paraId="0370F526" w14:textId="77777777" w:rsidR="00555BEA" w:rsidRDefault="00555BEA" w:rsidP="00F9511B">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Workers in their late teens, namely 17-25 years old, had an attitude in the "good" category as many as 7 people (100%). Attitudes can change because attitudes can be learned. Curiosity in late teens tends to be high. Training can influence a person's response to a condition. </w:t>
      </w:r>
    </w:p>
    <w:p w14:paraId="1F796323" w14:textId="77777777" w:rsidR="00555BEA" w:rsidRDefault="00555BEA" w:rsidP="00F9511B">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Workers with junior high school education have an attitude in the "good" category as many as 2 people (100%). Workers with a master's level of education have an attitude in the "good" category as much as 1 person (100%). Education is one thing to develop abilities and personality. The data shows that the highest percentage of education level regarding the attitude of the Dinoyo Health Center workforce is Master's and Middle School. The higher the level of education, the greater the awareness of the behavior or attitudes that must be carried out. This contradicts this statement because the workforce with a junior high school education level is among the highest percentages. The experience gained by these workers can influence how they respond to a situation. </w:t>
      </w:r>
    </w:p>
    <w:p w14:paraId="0EDCEF43" w14:textId="77777777" w:rsidR="00555BEA" w:rsidRDefault="00555BEA" w:rsidP="00F9511B">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39 workers who had attended fire training had an attitude in the "good" category (79.6%). Training functions as a means of information to workers in the event of a fire. The workforce is able to respond well when emergencies occur, especially fires. A trained workforce will increase preparedness in dealing with fires.</w:t>
      </w:r>
    </w:p>
    <w:p w14:paraId="4CD3A3FF" w14:textId="77777777" w:rsidR="00555BEA" w:rsidRDefault="00555BEA" w:rsidP="00F9511B">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Workers in the professions of administration, pharmacist, ATLM, cleaning service, health promotion, sanitarian and security guard have an attitude in the "good" category each at 100%. All of these workers have attended fire-related training carried out by the Dinoyo Community Health Center in 2023. </w:t>
      </w:r>
    </w:p>
    <w:p w14:paraId="392558B2" w14:textId="13AACCDE" w:rsidR="00F12C92" w:rsidRDefault="00555BEA" w:rsidP="00F12C92">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Attitudes can change over time. These changes can occur in response or reciprocity to a condition by the individual himself. Attitudes are influenced by several factors including personal experience, influence of other people, cultural influence, mass media, education, and emotion (Azwar, 2013).</w:t>
      </w:r>
    </w:p>
    <w:p w14:paraId="413471FB" w14:textId="77777777" w:rsidR="00555BEA" w:rsidRPr="00F9511B" w:rsidRDefault="00555BEA" w:rsidP="00B169F5">
      <w:pPr>
        <w:numPr>
          <w:ilvl w:val="0"/>
          <w:numId w:val="7"/>
        </w:numPr>
        <w:pBdr>
          <w:top w:val="nil"/>
          <w:left w:val="nil"/>
          <w:bottom w:val="nil"/>
          <w:right w:val="nil"/>
          <w:between w:val="nil"/>
        </w:pBdr>
        <w:spacing w:after="120" w:line="360" w:lineRule="auto"/>
        <w:ind w:left="425" w:hanging="425"/>
        <w:jc w:val="both"/>
        <w:rPr>
          <w:rFonts w:ascii="Garamond" w:eastAsia="Garamond" w:hAnsi="Garamond" w:cs="Garamond"/>
          <w:bCs/>
          <w:color w:val="000000"/>
        </w:rPr>
      </w:pPr>
      <w:r w:rsidRPr="00F9511B">
        <w:rPr>
          <w:rFonts w:ascii="Garamond" w:eastAsia="Garamond" w:hAnsi="Garamond" w:cs="Garamond"/>
          <w:bCs/>
          <w:color w:val="000000"/>
        </w:rPr>
        <w:t>Preparedness</w:t>
      </w:r>
    </w:p>
    <w:p w14:paraId="14058BAB" w14:textId="77777777" w:rsidR="00555BEA" w:rsidRDefault="00555BEA" w:rsidP="00FC1696">
      <w:pPr>
        <w:keepNext/>
        <w:pBdr>
          <w:top w:val="nil"/>
          <w:left w:val="nil"/>
          <w:bottom w:val="nil"/>
          <w:right w:val="nil"/>
          <w:between w:val="nil"/>
        </w:pBdr>
        <w:spacing w:after="0" w:line="360" w:lineRule="auto"/>
        <w:rPr>
          <w:rFonts w:ascii="Garamond" w:eastAsia="Garamond" w:hAnsi="Garamond" w:cs="Garamond"/>
          <w:color w:val="000000"/>
        </w:rPr>
      </w:pPr>
      <w:r w:rsidRPr="00FC1696">
        <w:rPr>
          <w:rFonts w:ascii="Garamond" w:eastAsia="Garamond" w:hAnsi="Garamond" w:cs="Garamond"/>
          <w:b/>
          <w:bCs/>
          <w:color w:val="000000"/>
        </w:rPr>
        <w:t>Table 6</w:t>
      </w:r>
      <w:r>
        <w:rPr>
          <w:rFonts w:ascii="Garamond" w:eastAsia="Garamond" w:hAnsi="Garamond" w:cs="Garamond"/>
          <w:color w:val="000000"/>
        </w:rPr>
        <w:t>. Workforce Preparedness Level Based on Knowledge and Attitude</w:t>
      </w:r>
    </w:p>
    <w:tbl>
      <w:tblPr>
        <w:tblStyle w:val="PlainTable2"/>
        <w:tblW w:w="8505" w:type="dxa"/>
        <w:jc w:val="center"/>
        <w:tblLayout w:type="fixed"/>
        <w:tblLook w:val="04A0" w:firstRow="1" w:lastRow="0" w:firstColumn="1" w:lastColumn="0" w:noHBand="0" w:noVBand="1"/>
      </w:tblPr>
      <w:tblGrid>
        <w:gridCol w:w="1134"/>
        <w:gridCol w:w="2552"/>
        <w:gridCol w:w="1984"/>
        <w:gridCol w:w="1418"/>
        <w:gridCol w:w="1417"/>
      </w:tblGrid>
      <w:tr w:rsidR="00555BEA" w:rsidRPr="00555BEA" w14:paraId="05073C76" w14:textId="77777777" w:rsidTr="00FC16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vAlign w:val="center"/>
          </w:tcPr>
          <w:p w14:paraId="33CBDEA9" w14:textId="77777777" w:rsidR="00555BEA" w:rsidRPr="00555BEA" w:rsidRDefault="00555BEA" w:rsidP="001A124B">
            <w:pPr>
              <w:pBdr>
                <w:top w:val="nil"/>
                <w:left w:val="nil"/>
                <w:bottom w:val="nil"/>
                <w:right w:val="nil"/>
                <w:between w:val="nil"/>
              </w:pBdr>
              <w:spacing w:after="0" w:line="360" w:lineRule="auto"/>
              <w:jc w:val="center"/>
              <w:rPr>
                <w:rFonts w:ascii="Garamond" w:eastAsia="Garamond" w:hAnsi="Garamond" w:cs="Garamond"/>
                <w:b w:val="0"/>
                <w:color w:val="000000"/>
              </w:rPr>
            </w:pPr>
            <w:r w:rsidRPr="00555BEA">
              <w:rPr>
                <w:rFonts w:ascii="Garamond" w:eastAsia="Garamond" w:hAnsi="Garamond" w:cs="Garamond"/>
                <w:b w:val="0"/>
                <w:color w:val="000000"/>
              </w:rPr>
              <w:t>No</w:t>
            </w:r>
          </w:p>
        </w:tc>
        <w:tc>
          <w:tcPr>
            <w:tcW w:w="2552" w:type="dxa"/>
            <w:tcBorders>
              <w:top w:val="single" w:sz="4" w:space="0" w:color="auto"/>
              <w:bottom w:val="single" w:sz="4" w:space="0" w:color="auto"/>
            </w:tcBorders>
            <w:vAlign w:val="center"/>
          </w:tcPr>
          <w:p w14:paraId="2F29D46F" w14:textId="77777777" w:rsidR="00555BEA" w:rsidRPr="00555BEA" w:rsidRDefault="00555BEA" w:rsidP="001A124B">
            <w:pPr>
              <w:pBdr>
                <w:top w:val="nil"/>
                <w:left w:val="nil"/>
                <w:bottom w:val="nil"/>
                <w:right w:val="nil"/>
                <w:between w:val="nil"/>
              </w:pBd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Parameter</w:t>
            </w:r>
          </w:p>
        </w:tc>
        <w:tc>
          <w:tcPr>
            <w:tcW w:w="1984" w:type="dxa"/>
            <w:tcBorders>
              <w:top w:val="single" w:sz="4" w:space="0" w:color="auto"/>
              <w:bottom w:val="single" w:sz="4" w:space="0" w:color="auto"/>
            </w:tcBorders>
            <w:vAlign w:val="center"/>
          </w:tcPr>
          <w:p w14:paraId="72C77466" w14:textId="77777777" w:rsidR="00555BEA" w:rsidRPr="00555BEA" w:rsidRDefault="00555BEA" w:rsidP="001A124B">
            <w:pPr>
              <w:pBdr>
                <w:top w:val="nil"/>
                <w:left w:val="nil"/>
                <w:bottom w:val="nil"/>
                <w:right w:val="nil"/>
                <w:between w:val="nil"/>
              </w:pBd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Achievement Score (Index Value)</w:t>
            </w:r>
          </w:p>
        </w:tc>
        <w:tc>
          <w:tcPr>
            <w:tcW w:w="1418" w:type="dxa"/>
            <w:tcBorders>
              <w:top w:val="single" w:sz="4" w:space="0" w:color="auto"/>
              <w:bottom w:val="single" w:sz="4" w:space="0" w:color="auto"/>
            </w:tcBorders>
            <w:vAlign w:val="center"/>
          </w:tcPr>
          <w:p w14:paraId="68C9513B" w14:textId="77777777" w:rsidR="00555BEA" w:rsidRPr="00555BEA" w:rsidRDefault="00555BEA" w:rsidP="001A124B">
            <w:pPr>
              <w:pBdr>
                <w:top w:val="nil"/>
                <w:left w:val="nil"/>
                <w:bottom w:val="nil"/>
                <w:right w:val="nil"/>
                <w:between w:val="nil"/>
              </w:pBd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Total Score</w:t>
            </w:r>
          </w:p>
        </w:tc>
        <w:tc>
          <w:tcPr>
            <w:tcW w:w="1417" w:type="dxa"/>
            <w:tcBorders>
              <w:top w:val="single" w:sz="4" w:space="0" w:color="auto"/>
              <w:bottom w:val="single" w:sz="4" w:space="0" w:color="auto"/>
            </w:tcBorders>
            <w:vAlign w:val="center"/>
          </w:tcPr>
          <w:p w14:paraId="0E3E3F18" w14:textId="77777777" w:rsidR="00555BEA" w:rsidRPr="00555BEA" w:rsidRDefault="00555BEA" w:rsidP="001A124B">
            <w:pPr>
              <w:pBdr>
                <w:top w:val="nil"/>
                <w:left w:val="nil"/>
                <w:bottom w:val="nil"/>
                <w:right w:val="nil"/>
                <w:between w:val="nil"/>
              </w:pBd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Garamond" w:eastAsia="Garamond" w:hAnsi="Garamond" w:cs="Garamond"/>
                <w:b w:val="0"/>
                <w:color w:val="000000"/>
              </w:rPr>
            </w:pPr>
            <w:r w:rsidRPr="00555BEA">
              <w:rPr>
                <w:rFonts w:ascii="Garamond" w:eastAsia="Garamond" w:hAnsi="Garamond" w:cs="Garamond"/>
                <w:b w:val="0"/>
                <w:color w:val="000000"/>
              </w:rPr>
              <w:t>Category</w:t>
            </w:r>
          </w:p>
        </w:tc>
      </w:tr>
      <w:tr w:rsidR="00555BEA" w:rsidRPr="00555BEA" w14:paraId="0E866514"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tcPr>
          <w:p w14:paraId="01A72BF3" w14:textId="77777777" w:rsidR="00555BEA" w:rsidRPr="00555BEA" w:rsidRDefault="00555BEA" w:rsidP="001A124B">
            <w:pPr>
              <w:pBdr>
                <w:top w:val="nil"/>
                <w:left w:val="nil"/>
                <w:bottom w:val="nil"/>
                <w:right w:val="nil"/>
                <w:between w:val="nil"/>
              </w:pBdr>
              <w:spacing w:after="0" w:line="360" w:lineRule="auto"/>
              <w:jc w:val="center"/>
              <w:rPr>
                <w:rFonts w:ascii="Garamond" w:eastAsia="Garamond" w:hAnsi="Garamond" w:cs="Garamond"/>
                <w:b w:val="0"/>
                <w:color w:val="000000"/>
              </w:rPr>
            </w:pPr>
            <w:r w:rsidRPr="00555BEA">
              <w:rPr>
                <w:rFonts w:ascii="Garamond" w:eastAsia="Garamond" w:hAnsi="Garamond" w:cs="Garamond"/>
                <w:b w:val="0"/>
                <w:color w:val="000000"/>
              </w:rPr>
              <w:t>1</w:t>
            </w:r>
          </w:p>
        </w:tc>
        <w:tc>
          <w:tcPr>
            <w:tcW w:w="2552" w:type="dxa"/>
            <w:tcBorders>
              <w:top w:val="single" w:sz="4" w:space="0" w:color="auto"/>
              <w:bottom w:val="single" w:sz="4" w:space="0" w:color="auto"/>
            </w:tcBorders>
          </w:tcPr>
          <w:p w14:paraId="054DBBC8" w14:textId="77777777" w:rsidR="00555BEA" w:rsidRPr="00555BEA" w:rsidRDefault="00555BEA" w:rsidP="001A124B">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Knowledge</w:t>
            </w:r>
          </w:p>
        </w:tc>
        <w:tc>
          <w:tcPr>
            <w:tcW w:w="1984" w:type="dxa"/>
            <w:tcBorders>
              <w:top w:val="single" w:sz="4" w:space="0" w:color="auto"/>
              <w:bottom w:val="single" w:sz="4" w:space="0" w:color="auto"/>
            </w:tcBorders>
          </w:tcPr>
          <w:p w14:paraId="1229AB78" w14:textId="77777777" w:rsidR="00555BEA" w:rsidRPr="00555BEA" w:rsidRDefault="00555BEA" w:rsidP="001A124B">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66.23</w:t>
            </w:r>
          </w:p>
        </w:tc>
        <w:tc>
          <w:tcPr>
            <w:tcW w:w="1418" w:type="dxa"/>
            <w:tcBorders>
              <w:top w:val="single" w:sz="4" w:space="0" w:color="auto"/>
              <w:bottom w:val="single" w:sz="4" w:space="0" w:color="auto"/>
            </w:tcBorders>
          </w:tcPr>
          <w:p w14:paraId="63A3E853" w14:textId="77777777" w:rsidR="00555BEA" w:rsidRPr="00555BEA" w:rsidRDefault="00555BEA" w:rsidP="001A124B">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100</w:t>
            </w:r>
          </w:p>
        </w:tc>
        <w:tc>
          <w:tcPr>
            <w:tcW w:w="1417" w:type="dxa"/>
            <w:tcBorders>
              <w:top w:val="single" w:sz="4" w:space="0" w:color="auto"/>
              <w:bottom w:val="single" w:sz="4" w:space="0" w:color="auto"/>
            </w:tcBorders>
          </w:tcPr>
          <w:p w14:paraId="2214AEE6" w14:textId="77777777" w:rsidR="00555BEA" w:rsidRPr="00555BEA" w:rsidRDefault="00555BEA" w:rsidP="001A124B">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Ready</w:t>
            </w:r>
          </w:p>
        </w:tc>
      </w:tr>
      <w:tr w:rsidR="00555BEA" w:rsidRPr="00555BEA" w14:paraId="05518A5F" w14:textId="77777777" w:rsidTr="00FC1696">
        <w:trPr>
          <w:jc w:val="center"/>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bottom w:val="single" w:sz="4" w:space="0" w:color="auto"/>
            </w:tcBorders>
          </w:tcPr>
          <w:p w14:paraId="54E07A98" w14:textId="77777777" w:rsidR="00555BEA" w:rsidRPr="00555BEA" w:rsidRDefault="00555BEA" w:rsidP="001A124B">
            <w:pPr>
              <w:pBdr>
                <w:top w:val="nil"/>
                <w:left w:val="nil"/>
                <w:bottom w:val="nil"/>
                <w:right w:val="nil"/>
                <w:between w:val="nil"/>
              </w:pBdr>
              <w:spacing w:after="0" w:line="360" w:lineRule="auto"/>
              <w:jc w:val="center"/>
              <w:rPr>
                <w:rFonts w:ascii="Garamond" w:eastAsia="Garamond" w:hAnsi="Garamond" w:cs="Garamond"/>
                <w:b w:val="0"/>
                <w:color w:val="000000"/>
              </w:rPr>
            </w:pPr>
            <w:r w:rsidRPr="00555BEA">
              <w:rPr>
                <w:rFonts w:ascii="Garamond" w:eastAsia="Garamond" w:hAnsi="Garamond" w:cs="Garamond"/>
                <w:b w:val="0"/>
                <w:color w:val="000000"/>
              </w:rPr>
              <w:t>2</w:t>
            </w:r>
          </w:p>
        </w:tc>
        <w:tc>
          <w:tcPr>
            <w:tcW w:w="2552" w:type="dxa"/>
            <w:tcBorders>
              <w:top w:val="single" w:sz="4" w:space="0" w:color="auto"/>
              <w:bottom w:val="single" w:sz="4" w:space="0" w:color="auto"/>
            </w:tcBorders>
          </w:tcPr>
          <w:p w14:paraId="42CBFA40" w14:textId="77777777" w:rsidR="00555BEA" w:rsidRPr="00555BEA" w:rsidRDefault="00555BEA" w:rsidP="001A124B">
            <w:pPr>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Attitude</w:t>
            </w:r>
          </w:p>
        </w:tc>
        <w:tc>
          <w:tcPr>
            <w:tcW w:w="1984" w:type="dxa"/>
            <w:tcBorders>
              <w:top w:val="single" w:sz="4" w:space="0" w:color="auto"/>
              <w:bottom w:val="single" w:sz="4" w:space="0" w:color="auto"/>
            </w:tcBorders>
          </w:tcPr>
          <w:p w14:paraId="264C4BB5" w14:textId="77777777" w:rsidR="00555BEA" w:rsidRPr="00555BEA" w:rsidRDefault="00555BEA" w:rsidP="001A124B">
            <w:pPr>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85.98</w:t>
            </w:r>
          </w:p>
        </w:tc>
        <w:tc>
          <w:tcPr>
            <w:tcW w:w="1418" w:type="dxa"/>
            <w:tcBorders>
              <w:top w:val="single" w:sz="4" w:space="0" w:color="auto"/>
              <w:bottom w:val="single" w:sz="4" w:space="0" w:color="auto"/>
            </w:tcBorders>
          </w:tcPr>
          <w:p w14:paraId="58012C27" w14:textId="77777777" w:rsidR="00555BEA" w:rsidRPr="00555BEA" w:rsidRDefault="00555BEA" w:rsidP="001A124B">
            <w:pPr>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100</w:t>
            </w:r>
          </w:p>
        </w:tc>
        <w:tc>
          <w:tcPr>
            <w:tcW w:w="1417" w:type="dxa"/>
            <w:tcBorders>
              <w:top w:val="single" w:sz="4" w:space="0" w:color="auto"/>
              <w:bottom w:val="single" w:sz="4" w:space="0" w:color="auto"/>
            </w:tcBorders>
          </w:tcPr>
          <w:p w14:paraId="4007C65C" w14:textId="77777777" w:rsidR="00555BEA" w:rsidRPr="00555BEA" w:rsidRDefault="00555BEA" w:rsidP="001A124B">
            <w:pPr>
              <w:pBdr>
                <w:top w:val="nil"/>
                <w:left w:val="nil"/>
                <w:bottom w:val="nil"/>
                <w:right w:val="nil"/>
                <w:between w:val="nil"/>
              </w:pBd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Very ready</w:t>
            </w:r>
          </w:p>
        </w:tc>
      </w:tr>
      <w:tr w:rsidR="00555BEA" w:rsidRPr="00555BEA" w14:paraId="6A5698A3" w14:textId="77777777" w:rsidTr="00FC16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gridSpan w:val="2"/>
            <w:tcBorders>
              <w:top w:val="single" w:sz="4" w:space="0" w:color="auto"/>
              <w:bottom w:val="single" w:sz="4" w:space="0" w:color="auto"/>
            </w:tcBorders>
          </w:tcPr>
          <w:p w14:paraId="243614E9" w14:textId="77777777" w:rsidR="00555BEA" w:rsidRPr="00555BEA" w:rsidRDefault="00555BEA" w:rsidP="001A124B">
            <w:pPr>
              <w:pBdr>
                <w:top w:val="nil"/>
                <w:left w:val="nil"/>
                <w:bottom w:val="nil"/>
                <w:right w:val="nil"/>
                <w:between w:val="nil"/>
              </w:pBdr>
              <w:spacing w:after="0" w:line="360" w:lineRule="auto"/>
              <w:jc w:val="center"/>
              <w:rPr>
                <w:rFonts w:ascii="Garamond" w:eastAsia="Garamond" w:hAnsi="Garamond" w:cs="Garamond"/>
                <w:b w:val="0"/>
                <w:color w:val="000000"/>
              </w:rPr>
            </w:pPr>
            <w:r w:rsidRPr="00555BEA">
              <w:rPr>
                <w:rFonts w:ascii="Garamond" w:eastAsia="Garamond" w:hAnsi="Garamond" w:cs="Garamond"/>
                <w:b w:val="0"/>
                <w:color w:val="000000"/>
              </w:rPr>
              <w:t>Workforce Readiness</w:t>
            </w:r>
          </w:p>
        </w:tc>
        <w:tc>
          <w:tcPr>
            <w:tcW w:w="1984" w:type="dxa"/>
            <w:tcBorders>
              <w:top w:val="single" w:sz="4" w:space="0" w:color="auto"/>
              <w:bottom w:val="single" w:sz="4" w:space="0" w:color="auto"/>
            </w:tcBorders>
          </w:tcPr>
          <w:p w14:paraId="49CD038A" w14:textId="77777777" w:rsidR="00555BEA" w:rsidRPr="00555BEA" w:rsidRDefault="00555BEA" w:rsidP="001A124B">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76.10</w:t>
            </w:r>
          </w:p>
        </w:tc>
        <w:tc>
          <w:tcPr>
            <w:tcW w:w="1418" w:type="dxa"/>
            <w:tcBorders>
              <w:top w:val="single" w:sz="4" w:space="0" w:color="auto"/>
              <w:bottom w:val="single" w:sz="4" w:space="0" w:color="auto"/>
            </w:tcBorders>
          </w:tcPr>
          <w:p w14:paraId="590D9741" w14:textId="77777777" w:rsidR="00555BEA" w:rsidRPr="00555BEA" w:rsidRDefault="00555BEA" w:rsidP="001A124B">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100</w:t>
            </w:r>
          </w:p>
        </w:tc>
        <w:tc>
          <w:tcPr>
            <w:tcW w:w="1417" w:type="dxa"/>
            <w:tcBorders>
              <w:top w:val="single" w:sz="4" w:space="0" w:color="auto"/>
              <w:bottom w:val="single" w:sz="4" w:space="0" w:color="auto"/>
            </w:tcBorders>
          </w:tcPr>
          <w:p w14:paraId="79707572" w14:textId="77777777" w:rsidR="00555BEA" w:rsidRPr="00555BEA" w:rsidRDefault="00555BEA" w:rsidP="001A124B">
            <w:pPr>
              <w:pBdr>
                <w:top w:val="nil"/>
                <w:left w:val="nil"/>
                <w:bottom w:val="nil"/>
                <w:right w:val="nil"/>
                <w:between w:val="nil"/>
              </w:pBd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Garamond" w:eastAsia="Garamond" w:hAnsi="Garamond" w:cs="Garamond"/>
                <w:bCs/>
                <w:color w:val="000000"/>
              </w:rPr>
            </w:pPr>
            <w:r w:rsidRPr="00555BEA">
              <w:rPr>
                <w:rFonts w:ascii="Garamond" w:eastAsia="Garamond" w:hAnsi="Garamond" w:cs="Garamond"/>
                <w:bCs/>
                <w:color w:val="000000"/>
              </w:rPr>
              <w:t>Ready</w:t>
            </w:r>
          </w:p>
        </w:tc>
      </w:tr>
    </w:tbl>
    <w:p w14:paraId="48BBA072" w14:textId="77777777" w:rsidR="00555BEA" w:rsidRDefault="00555BEA" w:rsidP="00555BEA">
      <w:pPr>
        <w:pBdr>
          <w:top w:val="nil"/>
          <w:left w:val="nil"/>
          <w:bottom w:val="nil"/>
          <w:right w:val="nil"/>
          <w:between w:val="nil"/>
        </w:pBdr>
        <w:spacing w:after="0" w:line="360" w:lineRule="auto"/>
        <w:ind w:left="567" w:firstLine="426"/>
        <w:jc w:val="both"/>
        <w:rPr>
          <w:rFonts w:ascii="Garamond" w:eastAsia="Garamond" w:hAnsi="Garamond" w:cs="Garamond"/>
          <w:color w:val="000000"/>
        </w:rPr>
      </w:pPr>
    </w:p>
    <w:p w14:paraId="172A99BB" w14:textId="4B63A4F1" w:rsidR="00555BEA" w:rsidRDefault="00555BEA" w:rsidP="00FC1696">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lastRenderedPageBreak/>
        <w:t>Fires can occur regardless of place and time. Manpower needs to be prepared to be able to deal with fires. Workforce preparedness can be seen through the level of knowledge and attitudes.</w:t>
      </w:r>
    </w:p>
    <w:p w14:paraId="58585FB7" w14:textId="77777777" w:rsidR="00555BEA" w:rsidRDefault="00555BEA" w:rsidP="00FC1696">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The research results also show that the Dinoyo Community Health Center workforce is in the "ready" category with a total score of 76.10. However, the attitude score (85.98) was higher than knowledge (66.23). Knowledge is one of the factors that influences a person's attitude (Notoatmojo in Ramadhani, 2021).</w:t>
      </w:r>
    </w:p>
    <w:p w14:paraId="515CE5F1" w14:textId="77777777" w:rsidR="00555BEA" w:rsidRDefault="00555BEA" w:rsidP="00FC1696">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 xml:space="preserve">Sometimes a person does not act according to the attitudes that exist within him. The information a person receives can change a person's attitude towards an object through persuasion and pressure from the surroundings (Alhamda, 2015). Attitude has become a closed reaction and is a syndrome related to factors of opinion, thoughts, emotions, attention and other psychological symptoms towards an existing object (Notoatmodjo in Dewi, 2019). Attitude is a person's willingness to actually carry out a behavior. </w:t>
      </w:r>
    </w:p>
    <w:p w14:paraId="73EE2F0E" w14:textId="77777777" w:rsidR="00555BEA" w:rsidRDefault="00555BEA" w:rsidP="00FC1696">
      <w:pPr>
        <w:pBdr>
          <w:top w:val="nil"/>
          <w:left w:val="nil"/>
          <w:bottom w:val="nil"/>
          <w:right w:val="nil"/>
          <w:between w:val="nil"/>
        </w:pBdr>
        <w:spacing w:after="120" w:line="360" w:lineRule="auto"/>
        <w:ind w:firstLine="567"/>
        <w:jc w:val="both"/>
        <w:rPr>
          <w:rFonts w:ascii="Garamond" w:eastAsia="Garamond" w:hAnsi="Garamond" w:cs="Garamond"/>
          <w:color w:val="000000"/>
        </w:rPr>
      </w:pPr>
      <w:r>
        <w:rPr>
          <w:rFonts w:ascii="Garamond" w:eastAsia="Garamond" w:hAnsi="Garamond" w:cs="Garamond"/>
          <w:color w:val="000000"/>
        </w:rPr>
        <w:t>One of the factors that influence a person's attitude (Azwar, 2013) is personal experience, influence from other people, and emotional influence. Attitudes are easily formed when personal experiences occur in conditions containing emotional elements. Emotions become a channel for frustration or a form of distraction mechanism. Apart from that, other people are an important part of influencing a person's attitude. So that attitude formation will be affected and it is not just knowledge that influences a person's attitude.</w:t>
      </w:r>
    </w:p>
    <w:p w14:paraId="291CA3D7" w14:textId="77777777" w:rsidR="00555BEA" w:rsidRDefault="00555BEA" w:rsidP="00555BEA">
      <w:pPr>
        <w:pBdr>
          <w:top w:val="nil"/>
          <w:left w:val="nil"/>
          <w:bottom w:val="nil"/>
          <w:right w:val="nil"/>
          <w:between w:val="nil"/>
        </w:pBdr>
        <w:spacing w:after="0" w:line="360" w:lineRule="auto"/>
        <w:ind w:left="567" w:firstLine="426"/>
        <w:jc w:val="both"/>
        <w:rPr>
          <w:rFonts w:ascii="Garamond" w:eastAsia="Garamond" w:hAnsi="Garamond" w:cs="Garamond"/>
          <w:color w:val="000000"/>
        </w:rPr>
      </w:pPr>
    </w:p>
    <w:p w14:paraId="13902A7E" w14:textId="77777777" w:rsidR="00555BEA" w:rsidRDefault="00555BEA" w:rsidP="00FC1696">
      <w:pPr>
        <w:spacing w:after="120" w:line="360" w:lineRule="auto"/>
        <w:jc w:val="both"/>
        <w:rPr>
          <w:rFonts w:ascii="Arial" w:eastAsia="Arial" w:hAnsi="Arial" w:cs="Arial"/>
          <w:b/>
        </w:rPr>
      </w:pPr>
      <w:r>
        <w:rPr>
          <w:rFonts w:ascii="Arial" w:eastAsia="Arial" w:hAnsi="Arial" w:cs="Arial"/>
          <w:b/>
        </w:rPr>
        <w:t>CONCLUSION</w:t>
      </w:r>
    </w:p>
    <w:p w14:paraId="1CBAE7BC" w14:textId="77777777" w:rsidR="00555BEA" w:rsidRDefault="00555BEA" w:rsidP="00B169F5">
      <w:pPr>
        <w:spacing w:after="120" w:line="360" w:lineRule="auto"/>
        <w:ind w:right="-34" w:firstLine="567"/>
        <w:jc w:val="both"/>
        <w:rPr>
          <w:rFonts w:ascii="Garamond" w:eastAsia="Garamond" w:hAnsi="Garamond" w:cs="Garamond"/>
          <w:color w:val="000000"/>
        </w:rPr>
      </w:pPr>
      <w:r>
        <w:rPr>
          <w:rFonts w:ascii="Garamond" w:eastAsia="Garamond" w:hAnsi="Garamond" w:cs="Garamond"/>
          <w:color w:val="000000"/>
        </w:rPr>
        <w:t xml:space="preserve">The level of knowledge of the workforce at the Dinoyo Community Health Center has an average of 66.23%, indicating that the workforce understands enough regarding knowledge about fire. The attitude level of the workforce at the Dinoyo Community Health Center has an average of 85.98%, indicating that the workforce is in the good category. The attitude that must be taken in the event of a fire has been understood. This is because fire training and simulations have been carried out for all workers. </w:t>
      </w:r>
    </w:p>
    <w:p w14:paraId="4958E778" w14:textId="77777777" w:rsidR="00555BEA" w:rsidRDefault="00555BEA" w:rsidP="00B169F5">
      <w:pPr>
        <w:spacing w:after="120" w:line="360" w:lineRule="auto"/>
        <w:ind w:right="-34" w:firstLine="567"/>
        <w:jc w:val="both"/>
        <w:rPr>
          <w:rFonts w:ascii="Garamond" w:eastAsia="Garamond" w:hAnsi="Garamond" w:cs="Garamond"/>
          <w:color w:val="000000"/>
        </w:rPr>
      </w:pPr>
      <w:r>
        <w:rPr>
          <w:rFonts w:ascii="Garamond" w:eastAsia="Garamond" w:hAnsi="Garamond" w:cs="Garamond"/>
          <w:color w:val="000000"/>
        </w:rPr>
        <w:t>The total workforce preparedness index value based on the level of knowledge and attitude is 76.10% in the ready category. The most prepared workforce based on gender is female (30%).  The most prepared workforce based on age is workers aged 36 – 45 years (late adulthood) at 39.13%. The most prepared workforce based on education level is workforce with junior high school education (50%) and D4 (50%). The preparedness of the most prepared workforce based on profession is ATLM, midwives, cleaning services and security guards, namely 50%. The preparedness of the most prepared workforce based on participation in fire training is those who have never attended training at 33.3%</w:t>
      </w:r>
    </w:p>
    <w:p w14:paraId="72B4CE11" w14:textId="77777777" w:rsidR="00555BEA" w:rsidRDefault="00555BEA" w:rsidP="00B169F5">
      <w:pPr>
        <w:spacing w:after="120" w:line="360" w:lineRule="auto"/>
        <w:ind w:right="-34" w:firstLine="567"/>
        <w:rPr>
          <w:rFonts w:ascii="Garamond" w:eastAsia="Garamond" w:hAnsi="Garamond" w:cs="Garamond"/>
          <w:color w:val="000000"/>
        </w:rPr>
      </w:pPr>
      <w:r>
        <w:rPr>
          <w:rFonts w:ascii="Garamond" w:eastAsia="Garamond" w:hAnsi="Garamond" w:cs="Garamond"/>
          <w:color w:val="000000"/>
        </w:rPr>
        <w:lastRenderedPageBreak/>
        <w:t>Researchers hope that further research will be carried out regarding workforce preparedness management related to preparedness aspects, guidelines and policies, response plans, early warning systems, and resource mobilization.</w:t>
      </w:r>
    </w:p>
    <w:p w14:paraId="1D525C76" w14:textId="77777777" w:rsidR="00555BEA" w:rsidRDefault="00555BEA" w:rsidP="00555BEA">
      <w:pPr>
        <w:spacing w:before="120" w:after="0" w:line="240" w:lineRule="auto"/>
        <w:jc w:val="both"/>
        <w:rPr>
          <w:rFonts w:ascii="Garamond" w:eastAsia="Garamond" w:hAnsi="Garamond" w:cs="Garamond"/>
        </w:rPr>
      </w:pPr>
    </w:p>
    <w:p w14:paraId="7BB1DF20" w14:textId="77777777" w:rsidR="00555BEA" w:rsidRDefault="00555BEA" w:rsidP="00555BEA">
      <w:pPr>
        <w:spacing w:after="120" w:line="360" w:lineRule="auto"/>
        <w:jc w:val="both"/>
        <w:rPr>
          <w:rFonts w:ascii="Arial" w:eastAsia="Arial" w:hAnsi="Arial" w:cs="Arial"/>
          <w:b/>
        </w:rPr>
      </w:pPr>
      <w:r>
        <w:rPr>
          <w:rFonts w:ascii="Arial" w:eastAsia="Arial" w:hAnsi="Arial" w:cs="Arial"/>
          <w:b/>
        </w:rPr>
        <w:t>REFERENCES</w:t>
      </w:r>
    </w:p>
    <w:p w14:paraId="71C9BAAB"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Alhamda S. Textbook of Health Sociology. Yogyakarta: Deepublish; 2015.</w:t>
      </w:r>
    </w:p>
    <w:p w14:paraId="630B2FA0"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 xml:space="preserve">Apriansa, R., Dewi, R. K., &amp; Puspito, H. (2022). Factors influencing the preparedness of health workers in disaster management literature review (Doctoral dissertation, Yogyakarta Aisyiyah University). </w:t>
      </w:r>
    </w:p>
    <w:p w14:paraId="3F2EF08E"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Arikunto, S. (2016). Research Procedures: A Practical Approach. Jakarta: Rineka Cipta.</w:t>
      </w:r>
    </w:p>
    <w:p w14:paraId="06CF52DA"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Arrazy, S., Sunarsih, E., &amp; Rahmiwati, A. (2014). Management System Implementation</w:t>
      </w:r>
    </w:p>
    <w:p w14:paraId="5AAA31D0"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 xml:space="preserve">Arsi Susilawati, 131711123049. (2018). Description of the Readiness of Health Workers in Disaster Management at Community Health Centers in Disaster Prone Areas in West Sumbawa Regency. </w:t>
      </w:r>
      <w:hyperlink r:id="rId10">
        <w:r w:rsidRPr="00555BEA">
          <w:rPr>
            <w:rFonts w:ascii="Garamond" w:eastAsia="Garamond" w:hAnsi="Garamond" w:cs="Garamond"/>
            <w:color w:val="0000FF"/>
            <w:u w:val="single"/>
          </w:rPr>
          <w:t>http://lib.unair.ac.id</w:t>
        </w:r>
      </w:hyperlink>
      <w:r w:rsidRPr="00555BEA">
        <w:rPr>
          <w:rFonts w:ascii="Garamond" w:eastAsia="Garamond" w:hAnsi="Garamond" w:cs="Garamond"/>
          <w:color w:val="000000"/>
        </w:rPr>
        <w:t>. http://dx.doi.org/10.20473/ijchn.v4i1.12395</w:t>
      </w:r>
    </w:p>
    <w:p w14:paraId="4E45D061"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Arial" w:hAnsi="Garamond" w:cs="Arial"/>
          <w:color w:val="222222"/>
          <w:highlight w:val="white"/>
        </w:rPr>
        <w:t>Cahyani, Y. F., &amp; Suharini, E. (2021). Community Preparedness in Facing Fire Disasters in Kampung Pelangi, Semarang City in 2020. </w:t>
      </w:r>
      <w:r w:rsidRPr="00555BEA">
        <w:rPr>
          <w:rFonts w:ascii="Garamond" w:eastAsia="Arial" w:hAnsi="Garamond" w:cs="Arial"/>
          <w:i/>
          <w:color w:val="222222"/>
          <w:highlight w:val="white"/>
        </w:rPr>
        <w:t>Edu Geography</w:t>
      </w:r>
      <w:r w:rsidRPr="00555BEA">
        <w:rPr>
          <w:rFonts w:ascii="Garamond" w:eastAsia="Arial" w:hAnsi="Garamond" w:cs="Arial"/>
          <w:color w:val="222222"/>
          <w:highlight w:val="white"/>
        </w:rPr>
        <w:t>, </w:t>
      </w:r>
      <w:r w:rsidRPr="00555BEA">
        <w:rPr>
          <w:rFonts w:ascii="Garamond" w:eastAsia="Arial" w:hAnsi="Garamond" w:cs="Arial"/>
          <w:i/>
          <w:color w:val="222222"/>
          <w:highlight w:val="white"/>
        </w:rPr>
        <w:t>9</w:t>
      </w:r>
      <w:r w:rsidRPr="00555BEA">
        <w:rPr>
          <w:rFonts w:ascii="Garamond" w:eastAsia="Arial" w:hAnsi="Garamond" w:cs="Arial"/>
          <w:color w:val="222222"/>
          <w:highlight w:val="white"/>
        </w:rPr>
        <w:t>(1), 57-65.</w:t>
      </w:r>
    </w:p>
    <w:p w14:paraId="6757EE94"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Directorate General of Health Services. (n.d.). Retrieved February 8, 2023, from https://yankes.kemkes.go.id/view_article/1507/mengenali-klas-kebakaran-dan-media-pedamamnya</w:t>
      </w:r>
    </w:p>
    <w:p w14:paraId="33689FB3"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Department of Manpower and Transmigration. (2016a). Training Module: General K3 Expert.</w:t>
      </w:r>
    </w:p>
    <w:p w14:paraId="4FC35A23"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Farhan, O., Hillah, F., Firdaus, R., Kurnia, F. W., Zea, J. M., Nourma, M., Studi, P., Safety, D.-I., Work, K., &amp; Health, F . (2022). Implementation of Work Safety Through Socialization and Training on the Use of Fire Extinguisher (Light Fire Extinguisher) at X. Swarna University: Journal of Community Service, 1(4), 462–467. https://doi.org/10.55681/SWARNA.V1I4.183</w:t>
      </w:r>
    </w:p>
    <w:p w14:paraId="1465CED4"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Fire Extinguisher Types | NFPA. (t.t.). Diambil 6 Mei 2023, dari https://www.nfpa.org/News-and-Research/Publications-and-media/Blogs-Landing-Page/NFPA-Today/Blog-Posts/2021/07/16/Fire-Extinguisher-Types</w:t>
      </w:r>
    </w:p>
    <w:p w14:paraId="20BC53E3"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Karuniasih, N., Basri, Y., Murwanto, H., Sungkowo, A., Prastistho, B., Lestari, P., Pembangunan, U., Veteran, N. ", &amp; Yogyakarta, ". (2022). Preparedness of Traditional Market Users Against the Threat of Earthquake and Fire Disasters at Beringharjo Market, Yogyakarta. Journal of Minerals, Energy and the Environment, 5(2), 1–15. https://doi.org/10.31315/JMEL.V5I2.4109.G4349</w:t>
      </w:r>
    </w:p>
    <w:p w14:paraId="73EB0022"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LIPI – UNESCO/ISDR. 2006. Study of Community Preparedness in Anticipating Earthquake and Tsunami Disasters. Jakarta.</w:t>
      </w:r>
    </w:p>
    <w:p w14:paraId="1970FBEF"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Nursalam. (2017). Nursing Science Research Methodology (4th edition). Jakarta: Salemba Medika.</w:t>
      </w:r>
    </w:p>
    <w:p w14:paraId="1E7DC2BD"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lastRenderedPageBreak/>
        <w:t>Causes of Fires and Classification of Fire Types - Paser Regency Fire Department. (n.d.). Retrieved February 8, 2023, from https://damkar.paserkab.go.id/detailpost/pembebab-kebakaran-dan-bisnis-jen-kebakaran</w:t>
      </w:r>
    </w:p>
    <w:p w14:paraId="59A48801"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 xml:space="preserve">Minister of Public Works Regulation Number 26/PRT/M/2008 concerning Technical Requirements for Fire Protection Systems in Buildings and the Environment. </w:t>
      </w:r>
    </w:p>
    <w:p w14:paraId="180262CF"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Regulation of the Minister of Manpower and Transmigration Number: PER-04/MEN/1980 concerning Requirements for Installation and Maintenance of Light Fire Extinguishers.</w:t>
      </w:r>
    </w:p>
    <w:p w14:paraId="2E956DE0"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 xml:space="preserve">Regulation of the Minister of Manpower of the Republic of Indonesia Number: PER.02/MEN/1983 concerning Automatic Fire Alarm Installations. </w:t>
      </w:r>
    </w:p>
    <w:p w14:paraId="35A4F993"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PT. Indonesian Quality System. (n.d.). Retrieved February 8, 2023, from http://kiscerti.co.id/article/theori-segitiga-api-triangle-of-fire</w:t>
      </w:r>
    </w:p>
    <w:p w14:paraId="15075605"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Putri, S., Handini, M. C., Purba, A., Sitorus, M. E. J., &amp; Siagian, M. T. (2022). THE RELATIONSHIP OF AGE AND WORKING PERIOD WITH DISASTER PREPARED ATTITUDE. PREPOTIF: JOURNAL OF PUBLIC HEALTH, 6(2), 1129-1134. https://doi.org/10.31004/prepotif.v6i2.4083</w:t>
      </w:r>
    </w:p>
    <w:p w14:paraId="557BBA95"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Ramadhani, N. R. (2023). Overview of the fire emergency response system in the Mahligai Sembilan building in 2022 (Doctoral dissertation, JAMBI UNIVERSITY).</w:t>
      </w:r>
    </w:p>
    <w:p w14:paraId="06B1CBE3"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Ramdani, R. T. (2022). THE RELATIONSHIP OF KNOWLEDGE, PERIOD OF WORK, AND FIRE TRAINING WITH THE FIRE EMERGENCY RESPONSE PREPAREDNESS OF WORKERS AT PT. VARIOUS MINES OF BOGOR.</w:t>
      </w:r>
    </w:p>
    <w:p w14:paraId="6DE76A33"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Saputra, D. R. (2019). OVERVIEW OF MAN, METHOD, AND MACHINE FACTORS ON THE FIRE EMERGENCY RESPONSE SYSTEM AT THE EAST JAVA COMMUNITY EYE HOSPITAL UPT, 2019 (Doctoral dissertation, STIKES Dr. Soetomo Hospital Foundation, Surabaya).</w:t>
      </w:r>
    </w:p>
    <w:p w14:paraId="61E22335"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 xml:space="preserve">Susanto, B. H., &amp; Wahyuni, I. D. (2021, December). The Influence of Knowledge Level on Fire Disaster Preparedness among Heads of Families, Gadang Village, Sukun District, Malang City. In Conference on Innovation and Application of Science and Technology (CIASTECH) (pp. 577-584). </w:t>
      </w:r>
      <w:hyperlink r:id="rId11">
        <w:r w:rsidRPr="00555BEA">
          <w:rPr>
            <w:rFonts w:ascii="Garamond" w:eastAsia="Garamond" w:hAnsi="Garamond" w:cs="Garamond"/>
            <w:color w:val="0000FF"/>
            <w:u w:val="single"/>
          </w:rPr>
          <w:t>https://doi.org/10.31328/ciastech.v0i0.3355</w:t>
        </w:r>
      </w:hyperlink>
    </w:p>
    <w:p w14:paraId="3B6D8BAF"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Y. Anwar, I. Setyasih and A. Risaldi, "Spatiotemporal Analysis of Building Fire Incidents in Samarinda City", GEOGRAPHY, vol. 9. no. 2, pp. 82-90, 2021.</w:t>
      </w:r>
    </w:p>
    <w:p w14:paraId="749493D6" w14:textId="77777777" w:rsidR="00555BEA" w:rsidRPr="00555BEA" w:rsidRDefault="00555BEA" w:rsidP="00555BEA">
      <w:pPr>
        <w:spacing w:after="0" w:line="360" w:lineRule="auto"/>
        <w:ind w:left="567" w:hanging="567"/>
        <w:jc w:val="both"/>
        <w:rPr>
          <w:rFonts w:ascii="Garamond" w:eastAsia="Garamond" w:hAnsi="Garamond" w:cs="Garamond"/>
          <w:color w:val="000000"/>
        </w:rPr>
      </w:pPr>
      <w:r w:rsidRPr="00555BEA">
        <w:rPr>
          <w:rFonts w:ascii="Garamond" w:eastAsia="Garamond" w:hAnsi="Garamond" w:cs="Garamond"/>
          <w:color w:val="000000"/>
        </w:rPr>
        <w:t>Yanti, B., Wahyudi, E., Wahiduddin, W., Novika, R. G., Arina, Y. M., Martani, N. S., &amp; Nawan, N. Community knowledge, attitudes, and behavior towards social distancing policy as preventing transmission of COVID-19 in Indonesia. J Indonesian Health Administration. 2020; 8(2):4–14. http://dx.doi.org/10.20473/jaki.v8i2.2020.4-14</w:t>
      </w:r>
    </w:p>
    <w:p w14:paraId="0C2926BB" w14:textId="5DCA8ED1" w:rsidR="00166490" w:rsidRPr="00555BEA" w:rsidRDefault="00166490" w:rsidP="00555BEA">
      <w:pPr>
        <w:spacing w:after="0" w:line="360" w:lineRule="auto"/>
        <w:ind w:left="567" w:hanging="567"/>
        <w:jc w:val="both"/>
        <w:rPr>
          <w:rFonts w:ascii="Garamond" w:hAnsi="Garamond" w:cs="Arial"/>
          <w:b/>
        </w:rPr>
      </w:pPr>
    </w:p>
    <w:p w14:paraId="4A46A033" w14:textId="244E4C01" w:rsidR="00913AE7" w:rsidRPr="0057396C" w:rsidRDefault="00913AE7" w:rsidP="0057396C">
      <w:pPr>
        <w:pStyle w:val="ListParagraph"/>
        <w:spacing w:after="120" w:line="360" w:lineRule="auto"/>
        <w:ind w:left="284" w:right="68"/>
        <w:contextualSpacing w:val="0"/>
        <w:jc w:val="both"/>
        <w:rPr>
          <w:rFonts w:ascii="Garamond" w:hAnsi="Garamond"/>
        </w:rPr>
      </w:pPr>
    </w:p>
    <w:p w14:paraId="127CA3C4" w14:textId="77777777" w:rsidR="00AC3113" w:rsidRPr="0057396C" w:rsidRDefault="00AC3113" w:rsidP="0057396C">
      <w:pPr>
        <w:spacing w:after="120" w:line="360" w:lineRule="auto"/>
        <w:rPr>
          <w:rFonts w:ascii="Garamond" w:hAnsi="Garamond"/>
          <w:b/>
        </w:rPr>
        <w:sectPr w:rsidR="00AC3113" w:rsidRPr="0057396C" w:rsidSect="00421D2F">
          <w:headerReference w:type="even" r:id="rId12"/>
          <w:headerReference w:type="default" r:id="rId13"/>
          <w:headerReference w:type="first" r:id="rId14"/>
          <w:footerReference w:type="first" r:id="rId15"/>
          <w:type w:val="continuous"/>
          <w:pgSz w:w="11906" w:h="16838" w:code="9"/>
          <w:pgMar w:top="1418" w:right="1701" w:bottom="1418" w:left="1701" w:header="709" w:footer="709" w:gutter="0"/>
          <w:pgNumType w:start="39"/>
          <w:cols w:space="708"/>
          <w:titlePg/>
          <w:docGrid w:linePitch="360"/>
        </w:sectPr>
      </w:pPr>
    </w:p>
    <w:p w14:paraId="52A34482" w14:textId="77777777" w:rsidR="00165FA9" w:rsidRPr="0057396C" w:rsidRDefault="00165FA9" w:rsidP="0057396C">
      <w:pPr>
        <w:spacing w:after="120" w:line="360" w:lineRule="auto"/>
        <w:rPr>
          <w:rFonts w:ascii="Garamond" w:hAnsi="Garamond"/>
        </w:rPr>
      </w:pPr>
    </w:p>
    <w:sectPr w:rsidR="00165FA9" w:rsidRPr="0057396C" w:rsidSect="0042631E">
      <w:headerReference w:type="even" r:id="rId16"/>
      <w:type w:val="continuous"/>
      <w:pgSz w:w="11906" w:h="16838"/>
      <w:pgMar w:top="1418" w:right="1701" w:bottom="1418"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C5316" w14:textId="77777777" w:rsidR="00ED0D50" w:rsidRDefault="00ED0D50" w:rsidP="008F5E39">
      <w:pPr>
        <w:spacing w:after="0" w:line="240" w:lineRule="auto"/>
      </w:pPr>
      <w:r>
        <w:separator/>
      </w:r>
    </w:p>
  </w:endnote>
  <w:endnote w:type="continuationSeparator" w:id="0">
    <w:p w14:paraId="631890F9" w14:textId="77777777" w:rsidR="00ED0D50" w:rsidRDefault="00ED0D50" w:rsidP="008F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CA64" w14:textId="77777777" w:rsidR="00CB28D3" w:rsidRDefault="00CB28D3">
    <w:pPr>
      <w:pStyle w:val="Footer"/>
      <w:jc w:val="center"/>
    </w:pPr>
  </w:p>
  <w:p w14:paraId="13545910" w14:textId="77777777" w:rsidR="00CB28D3" w:rsidRDefault="00CB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5064F" w14:textId="77777777" w:rsidR="00ED0D50" w:rsidRDefault="00ED0D50" w:rsidP="008F5E39">
      <w:pPr>
        <w:spacing w:after="0" w:line="240" w:lineRule="auto"/>
      </w:pPr>
      <w:r>
        <w:separator/>
      </w:r>
    </w:p>
  </w:footnote>
  <w:footnote w:type="continuationSeparator" w:id="0">
    <w:p w14:paraId="794401CC" w14:textId="77777777" w:rsidR="00ED0D50" w:rsidRDefault="00ED0D50" w:rsidP="008F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3" w:type="pct"/>
      <w:tblBorders>
        <w:insideH w:val="single" w:sz="4" w:space="0" w:color="auto"/>
        <w:insideV w:val="single" w:sz="4" w:space="0" w:color="auto"/>
      </w:tblBorders>
      <w:shd w:val="clear" w:color="auto" w:fill="000000" w:themeFill="text1"/>
      <w:tblLook w:val="04A0" w:firstRow="1" w:lastRow="0" w:firstColumn="1" w:lastColumn="0" w:noHBand="0" w:noVBand="1"/>
    </w:tblPr>
    <w:tblGrid>
      <w:gridCol w:w="629"/>
      <w:gridCol w:w="8016"/>
    </w:tblGrid>
    <w:tr w:rsidR="005E26D8" w14:paraId="6257F4C0" w14:textId="77777777" w:rsidTr="000E1D2D">
      <w:trPr>
        <w:trHeight w:hRule="exact" w:val="284"/>
      </w:trPr>
      <w:tc>
        <w:tcPr>
          <w:tcW w:w="630" w:type="dxa"/>
          <w:shd w:val="clear" w:color="auto" w:fill="000000" w:themeFill="text1"/>
        </w:tcPr>
        <w:p w14:paraId="2B72C363" w14:textId="77777777" w:rsidR="005E26D8" w:rsidRDefault="000054BD">
          <w:pPr>
            <w:pStyle w:val="Header"/>
            <w:jc w:val="right"/>
            <w:rPr>
              <w:b/>
            </w:rPr>
          </w:pPr>
          <w:r>
            <w:fldChar w:fldCharType="begin"/>
          </w:r>
          <w:r>
            <w:instrText xml:space="preserve"> PAGE   \* MERGEFORMAT </w:instrText>
          </w:r>
          <w:r>
            <w:fldChar w:fldCharType="separate"/>
          </w:r>
          <w:r w:rsidR="00D31B80">
            <w:rPr>
              <w:noProof/>
            </w:rPr>
            <w:t>174</w:t>
          </w:r>
          <w:r>
            <w:rPr>
              <w:noProof/>
            </w:rPr>
            <w:fldChar w:fldCharType="end"/>
          </w:r>
        </w:p>
      </w:tc>
      <w:tc>
        <w:tcPr>
          <w:tcW w:w="8016" w:type="dxa"/>
          <w:shd w:val="clear" w:color="auto" w:fill="000000" w:themeFill="text1"/>
          <w:noWrap/>
        </w:tcPr>
        <w:p w14:paraId="6CBE79EA" w14:textId="606A73F2" w:rsidR="005E26D8" w:rsidRDefault="00927308" w:rsidP="000E1D2D">
          <w:pPr>
            <w:pStyle w:val="Header"/>
            <w:tabs>
              <w:tab w:val="clear" w:pos="9026"/>
              <w:tab w:val="left" w:pos="6969"/>
            </w:tabs>
            <w:rPr>
              <w:b/>
            </w:rPr>
          </w:pPr>
          <w:bookmarkStart w:id="0" w:name="_Hlk171583522"/>
          <w:proofErr w:type="spellStart"/>
          <w:r w:rsidRPr="00927308">
            <w:rPr>
              <w:lang w:val="en-US"/>
            </w:rPr>
            <w:t>Zanuba</w:t>
          </w:r>
          <w:proofErr w:type="spellEnd"/>
          <w:r w:rsidRPr="00927308">
            <w:rPr>
              <w:lang w:val="en-US"/>
            </w:rPr>
            <w:t xml:space="preserve"> </w:t>
          </w:r>
          <w:proofErr w:type="spellStart"/>
          <w:r w:rsidRPr="00927308">
            <w:rPr>
              <w:lang w:val="en-US"/>
            </w:rPr>
            <w:t>Syifa</w:t>
          </w:r>
          <w:proofErr w:type="spellEnd"/>
          <w:r w:rsidRPr="00927308">
            <w:rPr>
              <w:lang w:val="en-US"/>
            </w:rPr>
            <w:t xml:space="preserve">' </w:t>
          </w:r>
          <w:proofErr w:type="spellStart"/>
          <w:r w:rsidRPr="00927308">
            <w:rPr>
              <w:lang w:val="en-US"/>
            </w:rPr>
            <w:t>Qotrunnada</w:t>
          </w:r>
          <w:proofErr w:type="spellEnd"/>
          <w:r w:rsidRPr="00927308">
            <w:rPr>
              <w:lang w:val="en-US"/>
            </w:rPr>
            <w:t xml:space="preserve"> </w:t>
          </w:r>
          <w:r w:rsidR="000E1D2D">
            <w:rPr>
              <w:lang w:val="en-US"/>
            </w:rPr>
            <w:t xml:space="preserve">et. al. </w:t>
          </w:r>
          <w:r w:rsidR="005E26D8">
            <w:t>/ SM Vol.</w:t>
          </w:r>
          <w:r w:rsidR="003713E9">
            <w:t>20</w:t>
          </w:r>
          <w:r w:rsidR="005E26D8">
            <w:t xml:space="preserve"> No.</w:t>
          </w:r>
          <w:r w:rsidR="003713E9">
            <w:t>1</w:t>
          </w:r>
          <w:r w:rsidR="005E26D8">
            <w:t xml:space="preserve"> </w:t>
          </w:r>
          <w:r w:rsidR="003713E9">
            <w:t>June</w:t>
          </w:r>
          <w:r w:rsidR="005E26D8">
            <w:t xml:space="preserve"> 20</w:t>
          </w:r>
          <w:r w:rsidR="006E7C60">
            <w:rPr>
              <w:lang w:val="en-US"/>
            </w:rPr>
            <w:t>2</w:t>
          </w:r>
          <w:r w:rsidR="003713E9">
            <w:rPr>
              <w:lang w:val="en-US"/>
            </w:rPr>
            <w:t>4</w:t>
          </w:r>
          <w:r w:rsidR="005E26D8">
            <w:t xml:space="preserve"> Page </w:t>
          </w:r>
          <w:r>
            <w:t>39</w:t>
          </w:r>
          <w:r w:rsidR="000E1D2D">
            <w:t>-</w:t>
          </w:r>
          <w:bookmarkEnd w:id="0"/>
          <w:r>
            <w:t>53</w:t>
          </w:r>
          <w:r w:rsidR="00B01884">
            <w:tab/>
          </w:r>
        </w:p>
      </w:tc>
    </w:tr>
  </w:tbl>
  <w:p w14:paraId="63555592" w14:textId="77777777" w:rsidR="005429FE" w:rsidRDefault="005429FE" w:rsidP="000E1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5F32" w14:textId="77777777" w:rsidR="00E82BE1" w:rsidRDefault="001C484A" w:rsidP="00B74DBD">
    <w:pPr>
      <w:pStyle w:val="Header"/>
      <w:tabs>
        <w:tab w:val="clear" w:pos="9026"/>
      </w:tabs>
    </w:pPr>
    <w:r>
      <w:rPr>
        <w:rFonts w:ascii="Garamond" w:hAnsi="Garamond"/>
        <w:noProof/>
        <w:sz w:val="20"/>
        <w:szCs w:val="20"/>
        <w:lang w:val="en-US"/>
      </w:rPr>
      <mc:AlternateContent>
        <mc:Choice Requires="wps">
          <w:drawing>
            <wp:anchor distT="0" distB="0" distL="114300" distR="114300" simplePos="0" relativeHeight="251666432" behindDoc="0" locked="0" layoutInCell="0" allowOverlap="1" wp14:anchorId="7FA1B7FD" wp14:editId="7A1C6AF4">
              <wp:simplePos x="0" y="0"/>
              <wp:positionH relativeFrom="margin">
                <wp:posOffset>6985</wp:posOffset>
              </wp:positionH>
              <wp:positionV relativeFrom="topMargin">
                <wp:posOffset>458470</wp:posOffset>
              </wp:positionV>
              <wp:extent cx="5382895" cy="179705"/>
              <wp:effectExtent l="6985" t="10795" r="10795" b="952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79705"/>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73B26720" w14:textId="347572CF" w:rsidR="00B74DBD" w:rsidRDefault="00927308" w:rsidP="00B01884">
                          <w:pPr>
                            <w:spacing w:after="0" w:line="240" w:lineRule="auto"/>
                            <w:jc w:val="right"/>
                          </w:pPr>
                          <w:proofErr w:type="spellStart"/>
                          <w:r w:rsidRPr="00927308">
                            <w:rPr>
                              <w:lang w:val="en-US"/>
                            </w:rPr>
                            <w:t>Zanuba</w:t>
                          </w:r>
                          <w:proofErr w:type="spellEnd"/>
                          <w:r w:rsidRPr="00927308">
                            <w:rPr>
                              <w:lang w:val="en-US"/>
                            </w:rPr>
                            <w:t xml:space="preserve"> </w:t>
                          </w:r>
                          <w:proofErr w:type="spellStart"/>
                          <w:r w:rsidRPr="00927308">
                            <w:rPr>
                              <w:lang w:val="en-US"/>
                            </w:rPr>
                            <w:t>Syifa</w:t>
                          </w:r>
                          <w:proofErr w:type="spellEnd"/>
                          <w:r w:rsidRPr="00927308">
                            <w:rPr>
                              <w:lang w:val="en-US"/>
                            </w:rPr>
                            <w:t xml:space="preserve">' </w:t>
                          </w:r>
                          <w:proofErr w:type="spellStart"/>
                          <w:r w:rsidRPr="00927308">
                            <w:rPr>
                              <w:lang w:val="en-US"/>
                            </w:rPr>
                            <w:t>Qotrunnada</w:t>
                          </w:r>
                          <w:proofErr w:type="spellEnd"/>
                          <w:r w:rsidRPr="00927308">
                            <w:rPr>
                              <w:lang w:val="en-US"/>
                            </w:rPr>
                            <w:t xml:space="preserve"> </w:t>
                          </w:r>
                          <w:r w:rsidR="003713E9" w:rsidRPr="003713E9">
                            <w:rPr>
                              <w:lang w:val="en-US"/>
                            </w:rPr>
                            <w:t xml:space="preserve">et. al. / SM Vol.20 No.1 June 2024 Page </w:t>
                          </w:r>
                          <w:r>
                            <w:rPr>
                              <w:lang w:val="en-US"/>
                            </w:rPr>
                            <w:t>39</w:t>
                          </w:r>
                          <w:r w:rsidR="003713E9" w:rsidRPr="003713E9">
                            <w:rPr>
                              <w:lang w:val="en-US"/>
                            </w:rPr>
                            <w:t>-</w:t>
                          </w:r>
                          <w:r>
                            <w:rPr>
                              <w:lang w:val="en-US"/>
                            </w:rPr>
                            <w:t>53</w:t>
                          </w:r>
                          <w:r w:rsidR="003713E9">
                            <w:rPr>
                              <w:lang w:val="en-US"/>
                            </w:rPr>
                            <w:t xml:space="preserve">        </w:t>
                          </w:r>
                          <w:r w:rsidR="000054BD">
                            <w:fldChar w:fldCharType="begin"/>
                          </w:r>
                          <w:r w:rsidR="000054BD">
                            <w:instrText xml:space="preserve"> PAGE   \* MERGEFORMAT </w:instrText>
                          </w:r>
                          <w:r w:rsidR="000054BD">
                            <w:fldChar w:fldCharType="separate"/>
                          </w:r>
                          <w:r w:rsidR="00D31B80">
                            <w:rPr>
                              <w:noProof/>
                            </w:rPr>
                            <w:t>175</w:t>
                          </w:r>
                          <w:r w:rsidR="000054BD">
                            <w:rPr>
                              <w:noProof/>
                            </w:rPr>
                            <w:fldChar w:fldCharType="end"/>
                          </w:r>
                          <w:r w:rsidR="00B74DBD">
                            <w:t xml:space="preserve">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FA1B7FD" id="_x0000_t202" coordsize="21600,21600" o:spt="202" path="m,l,21600r21600,l21600,xe">
              <v:stroke joinstyle="miter"/>
              <v:path gradientshapeok="t" o:connecttype="rect"/>
            </v:shapetype>
            <v:shape id="Text Box 29" o:spid="_x0000_s1026" type="#_x0000_t202" style="position:absolute;margin-left:.55pt;margin-top:36.1pt;width:423.85pt;height:1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" o:allowincell="f" fillcolor="black [3213]" strokecolor="black [3213]">
              <v:textbox inset=",0,,0">
                <w:txbxContent>
                  <w:p w14:paraId="73B26720" w14:textId="347572CF" w:rsidR="00B74DBD" w:rsidRDefault="00927308" w:rsidP="00B01884">
                    <w:pPr>
                      <w:spacing w:after="0" w:line="240" w:lineRule="auto"/>
                      <w:jc w:val="right"/>
                    </w:pPr>
                    <w:proofErr w:type="spellStart"/>
                    <w:r w:rsidRPr="00927308">
                      <w:rPr>
                        <w:lang w:val="en-US"/>
                      </w:rPr>
                      <w:t>Zanuba</w:t>
                    </w:r>
                    <w:proofErr w:type="spellEnd"/>
                    <w:r w:rsidRPr="00927308">
                      <w:rPr>
                        <w:lang w:val="en-US"/>
                      </w:rPr>
                      <w:t xml:space="preserve"> </w:t>
                    </w:r>
                    <w:proofErr w:type="spellStart"/>
                    <w:r w:rsidRPr="00927308">
                      <w:rPr>
                        <w:lang w:val="en-US"/>
                      </w:rPr>
                      <w:t>Syifa</w:t>
                    </w:r>
                    <w:proofErr w:type="spellEnd"/>
                    <w:r w:rsidRPr="00927308">
                      <w:rPr>
                        <w:lang w:val="en-US"/>
                      </w:rPr>
                      <w:t xml:space="preserve">' </w:t>
                    </w:r>
                    <w:proofErr w:type="spellStart"/>
                    <w:r w:rsidRPr="00927308">
                      <w:rPr>
                        <w:lang w:val="en-US"/>
                      </w:rPr>
                      <w:t>Qotrunnada</w:t>
                    </w:r>
                    <w:proofErr w:type="spellEnd"/>
                    <w:r w:rsidRPr="00927308">
                      <w:rPr>
                        <w:lang w:val="en-US"/>
                      </w:rPr>
                      <w:t xml:space="preserve"> </w:t>
                    </w:r>
                    <w:r w:rsidR="003713E9" w:rsidRPr="003713E9">
                      <w:rPr>
                        <w:lang w:val="en-US"/>
                      </w:rPr>
                      <w:t xml:space="preserve">et. al. / SM Vol.20 No.1 June 2024 Page </w:t>
                    </w:r>
                    <w:r>
                      <w:rPr>
                        <w:lang w:val="en-US"/>
                      </w:rPr>
                      <w:t>39</w:t>
                    </w:r>
                    <w:r w:rsidR="003713E9" w:rsidRPr="003713E9">
                      <w:rPr>
                        <w:lang w:val="en-US"/>
                      </w:rPr>
                      <w:t>-</w:t>
                    </w:r>
                    <w:r>
                      <w:rPr>
                        <w:lang w:val="en-US"/>
                      </w:rPr>
                      <w:t>53</w:t>
                    </w:r>
                    <w:r w:rsidR="003713E9">
                      <w:rPr>
                        <w:lang w:val="en-US"/>
                      </w:rPr>
                      <w:t xml:space="preserve">        </w:t>
                    </w:r>
                    <w:r w:rsidR="000054BD">
                      <w:fldChar w:fldCharType="begin"/>
                    </w:r>
                    <w:r w:rsidR="000054BD">
                      <w:instrText xml:space="preserve"> PAGE   \* MERGEFORMAT </w:instrText>
                    </w:r>
                    <w:r w:rsidR="000054BD">
                      <w:fldChar w:fldCharType="separate"/>
                    </w:r>
                    <w:r w:rsidR="00D31B80">
                      <w:rPr>
                        <w:noProof/>
                      </w:rPr>
                      <w:t>175</w:t>
                    </w:r>
                    <w:r w:rsidR="000054BD">
                      <w:rPr>
                        <w:noProof/>
                      </w:rPr>
                      <w:fldChar w:fldCharType="end"/>
                    </w:r>
                    <w:r w:rsidR="00B74DBD">
                      <w:t xml:space="preserve">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color w:val="FFFFFF" w:themeColor="background1"/>
      </w:rPr>
      <w:id w:val="6236018"/>
      <w:docPartObj>
        <w:docPartGallery w:val="Page Numbers (Top of Page)"/>
        <w:docPartUnique/>
      </w:docPartObj>
    </w:sdtPr>
    <w:sdtContent>
      <w:p w14:paraId="244C2689" w14:textId="77777777" w:rsidR="00F84D1C" w:rsidRPr="00E82BE1" w:rsidRDefault="001C484A">
        <w:pPr>
          <w:pStyle w:val="Header"/>
          <w:jc w:val="right"/>
          <w:rPr>
            <w:rFonts w:ascii="Arial" w:hAnsi="Arial" w:cs="Arial"/>
            <w:b/>
            <w:color w:val="FFFFFF" w:themeColor="background1"/>
          </w:rPr>
        </w:pPr>
        <w:r>
          <w:rPr>
            <w:rFonts w:ascii="Arial" w:hAnsi="Arial" w:cs="Arial"/>
            <w:b/>
            <w:noProof/>
            <w:color w:val="FFFFFF" w:themeColor="background1"/>
            <w:lang w:val="en-US"/>
          </w:rPr>
          <mc:AlternateContent>
            <mc:Choice Requires="wps">
              <w:drawing>
                <wp:anchor distT="0" distB="0" distL="114300" distR="114300" simplePos="0" relativeHeight="251661312" behindDoc="0" locked="0" layoutInCell="1" allowOverlap="1" wp14:anchorId="2F401132" wp14:editId="47E07D0F">
                  <wp:simplePos x="0" y="0"/>
                  <wp:positionH relativeFrom="column">
                    <wp:posOffset>-114935</wp:posOffset>
                  </wp:positionH>
                  <wp:positionV relativeFrom="paragraph">
                    <wp:posOffset>-45085</wp:posOffset>
                  </wp:positionV>
                  <wp:extent cx="879475" cy="785495"/>
                  <wp:effectExtent l="0" t="2540" r="0" b="25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1EEB" w14:textId="77777777" w:rsidR="005F7C33" w:rsidRDefault="0050754D">
                              <w:r>
                                <w:rPr>
                                  <w:noProof/>
                                  <w:lang w:val="en-US"/>
                                </w:rPr>
                                <w:drawing>
                                  <wp:inline distT="0" distB="0" distL="0" distR="0" wp14:anchorId="5BA56BAF" wp14:editId="74210B23">
                                    <wp:extent cx="558920" cy="672860"/>
                                    <wp:effectExtent l="19050" t="0" r="0" b="0"/>
                                    <wp:docPr id="3" name="Picture 2" desc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1"/>
                                            <a:stretch>
                                              <a:fillRect/>
                                            </a:stretch>
                                          </pic:blipFill>
                                          <pic:spPr>
                                            <a:xfrm>
                                              <a:off x="0" y="0"/>
                                              <a:ext cx="562697" cy="67740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01132" id="_x0000_t202" coordsize="21600,21600" o:spt="202" path="m,l,21600r21600,l21600,xe">
                  <v:stroke joinstyle="miter"/>
                  <v:path gradientshapeok="t" o:connecttype="rect"/>
                </v:shapetype>
                <v:shape id="Text Box 9" o:spid="_x0000_s1027" type="#_x0000_t202" style="position:absolute;left:0;text-align:left;margin-left:-9.05pt;margin-top:-3.55pt;width:69.25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" filled="f" stroked="f">
                  <v:textbox>
                    <w:txbxContent>
                      <w:p w14:paraId="773A1EEB" w14:textId="77777777" w:rsidR="005F7C33" w:rsidRDefault="0050754D">
                        <w:r>
                          <w:rPr>
                            <w:noProof/>
                            <w:lang w:val="en-US"/>
                          </w:rPr>
                          <w:drawing>
                            <wp:inline distT="0" distB="0" distL="0" distR="0" wp14:anchorId="5BA56BAF" wp14:editId="74210B23">
                              <wp:extent cx="558920" cy="672860"/>
                              <wp:effectExtent l="19050" t="0" r="0" b="0"/>
                              <wp:docPr id="3" name="Picture 2" desc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1"/>
                                      <a:stretch>
                                        <a:fillRect/>
                                      </a:stretch>
                                    </pic:blipFill>
                                    <pic:spPr>
                                      <a:xfrm>
                                        <a:off x="0" y="0"/>
                                        <a:ext cx="562697" cy="677407"/>
                                      </a:xfrm>
                                      <a:prstGeom prst="rect">
                                        <a:avLst/>
                                      </a:prstGeom>
                                    </pic:spPr>
                                  </pic:pic>
                                </a:graphicData>
                              </a:graphic>
                            </wp:inline>
                          </w:drawing>
                        </w:r>
                      </w:p>
                    </w:txbxContent>
                  </v:textbox>
                </v:shape>
              </w:pict>
            </mc:Fallback>
          </mc:AlternateContent>
        </w:r>
        <w:r w:rsidR="009C45D0" w:rsidRPr="00E82BE1">
          <w:rPr>
            <w:rFonts w:ascii="Arial" w:hAnsi="Arial" w:cs="Arial"/>
            <w:b/>
            <w:color w:val="FFFFFF" w:themeColor="background1"/>
          </w:rPr>
          <w:fldChar w:fldCharType="begin"/>
        </w:r>
        <w:r w:rsidR="00F84D1C" w:rsidRPr="00E82BE1">
          <w:rPr>
            <w:rFonts w:ascii="Arial" w:hAnsi="Arial" w:cs="Arial"/>
            <w:b/>
            <w:color w:val="FFFFFF" w:themeColor="background1"/>
          </w:rPr>
          <w:instrText xml:space="preserve"> PAGE   \* MERGEFORMAT </w:instrText>
        </w:r>
        <w:r w:rsidR="009C45D0" w:rsidRPr="00E82BE1">
          <w:rPr>
            <w:rFonts w:ascii="Arial" w:hAnsi="Arial" w:cs="Arial"/>
            <w:b/>
            <w:color w:val="FFFFFF" w:themeColor="background1"/>
          </w:rPr>
          <w:fldChar w:fldCharType="separate"/>
        </w:r>
        <w:r w:rsidR="00D31B80">
          <w:rPr>
            <w:rFonts w:ascii="Arial" w:hAnsi="Arial" w:cs="Arial"/>
            <w:b/>
            <w:noProof/>
            <w:color w:val="FFFFFF" w:themeColor="background1"/>
          </w:rPr>
          <w:t>169</w:t>
        </w:r>
        <w:r w:rsidR="009C45D0" w:rsidRPr="00E82BE1">
          <w:rPr>
            <w:rFonts w:ascii="Arial" w:hAnsi="Arial" w:cs="Arial"/>
            <w:b/>
            <w:color w:val="FFFFFF" w:themeColor="background1"/>
          </w:rPr>
          <w:fldChar w:fldCharType="end"/>
        </w:r>
      </w:p>
    </w:sdtContent>
  </w:sdt>
  <w:p w14:paraId="186F2559" w14:textId="57C6DB38" w:rsidR="00AA5C64" w:rsidRPr="00267F44" w:rsidRDefault="005F7C33" w:rsidP="00913AE7">
    <w:pPr>
      <w:pStyle w:val="Header"/>
      <w:tabs>
        <w:tab w:val="clear" w:pos="4513"/>
        <w:tab w:val="clear" w:pos="9026"/>
        <w:tab w:val="left" w:pos="5597"/>
      </w:tabs>
      <w:rPr>
        <w:rFonts w:ascii="Arial" w:hAnsi="Arial" w:cs="Arial"/>
        <w:b/>
        <w:sz w:val="20"/>
        <w:szCs w:val="20"/>
        <w:lang w:val="en-US"/>
      </w:rPr>
    </w:pPr>
    <w:r>
      <w:rPr>
        <w:rFonts w:ascii="Arial" w:hAnsi="Arial" w:cs="Arial"/>
        <w:b/>
        <w:sz w:val="24"/>
        <w:szCs w:val="24"/>
      </w:rPr>
      <w:t xml:space="preserve">      </w:t>
    </w:r>
    <w:r w:rsidR="00C7403E">
      <w:rPr>
        <w:rFonts w:ascii="Arial" w:hAnsi="Arial" w:cs="Arial"/>
        <w:b/>
        <w:sz w:val="24"/>
        <w:szCs w:val="24"/>
      </w:rPr>
      <w:t xml:space="preserve">         </w:t>
    </w:r>
    <w:r w:rsidR="00AA5C64" w:rsidRPr="00AA5C64">
      <w:rPr>
        <w:rFonts w:ascii="Arial" w:hAnsi="Arial" w:cs="Arial"/>
        <w:b/>
        <w:sz w:val="24"/>
        <w:szCs w:val="24"/>
      </w:rPr>
      <w:t>Jurnal Saintika Medika</w:t>
    </w:r>
    <w:r w:rsidR="00913AE7">
      <w:rPr>
        <w:rFonts w:ascii="Arial" w:hAnsi="Arial" w:cs="Arial"/>
        <w:b/>
        <w:sz w:val="24"/>
        <w:szCs w:val="24"/>
      </w:rPr>
      <w:t xml:space="preserve">             </w:t>
    </w:r>
    <w:r w:rsidR="00D75C46">
      <w:rPr>
        <w:rFonts w:ascii="Arial" w:hAnsi="Arial" w:cs="Arial"/>
        <w:b/>
        <w:sz w:val="24"/>
        <w:szCs w:val="24"/>
      </w:rPr>
      <w:t xml:space="preserve"> </w:t>
    </w:r>
    <w:r w:rsidR="00913AE7">
      <w:rPr>
        <w:rFonts w:ascii="Arial" w:hAnsi="Arial" w:cs="Arial"/>
        <w:b/>
        <w:sz w:val="24"/>
        <w:szCs w:val="24"/>
      </w:rPr>
      <w:t xml:space="preserve">                </w:t>
    </w:r>
    <w:r w:rsidR="003713E9">
      <w:rPr>
        <w:rFonts w:ascii="Arial" w:hAnsi="Arial" w:cs="Arial"/>
        <w:b/>
        <w:sz w:val="24"/>
        <w:szCs w:val="24"/>
      </w:rPr>
      <w:t xml:space="preserve">        </w:t>
    </w:r>
    <w:r w:rsidR="00913AE7">
      <w:rPr>
        <w:rFonts w:ascii="Arial" w:hAnsi="Arial" w:cs="Arial"/>
        <w:b/>
        <w:sz w:val="24"/>
        <w:szCs w:val="24"/>
      </w:rPr>
      <w:t xml:space="preserve"> </w:t>
    </w:r>
    <w:r w:rsidR="00267F44">
      <w:rPr>
        <w:rFonts w:ascii="Arial" w:hAnsi="Arial" w:cs="Arial"/>
        <w:b/>
        <w:sz w:val="24"/>
        <w:szCs w:val="24"/>
        <w:lang w:val="en-US"/>
      </w:rPr>
      <w:t xml:space="preserve"> </w:t>
    </w:r>
    <w:r w:rsidR="00283924" w:rsidRPr="00D75C46">
      <w:rPr>
        <w:rFonts w:ascii="Arial" w:hAnsi="Arial" w:cs="Arial"/>
        <w:b/>
        <w:sz w:val="20"/>
        <w:szCs w:val="20"/>
      </w:rPr>
      <w:t xml:space="preserve">Vol. </w:t>
    </w:r>
    <w:r w:rsidR="003713E9">
      <w:rPr>
        <w:rFonts w:ascii="Arial" w:hAnsi="Arial" w:cs="Arial"/>
        <w:b/>
        <w:sz w:val="20"/>
        <w:szCs w:val="20"/>
        <w:lang w:val="en-US"/>
      </w:rPr>
      <w:t>20</w:t>
    </w:r>
    <w:r w:rsidR="00AA5C64" w:rsidRPr="00D75C46">
      <w:rPr>
        <w:rFonts w:ascii="Arial" w:hAnsi="Arial" w:cs="Arial"/>
        <w:b/>
        <w:sz w:val="20"/>
        <w:szCs w:val="20"/>
      </w:rPr>
      <w:t xml:space="preserve"> No. </w:t>
    </w:r>
    <w:r w:rsidR="003713E9">
      <w:rPr>
        <w:rFonts w:ascii="Arial" w:hAnsi="Arial" w:cs="Arial"/>
        <w:b/>
        <w:sz w:val="20"/>
        <w:szCs w:val="20"/>
      </w:rPr>
      <w:t>1</w:t>
    </w:r>
    <w:r w:rsidR="00AA5C64" w:rsidRPr="00D75C46">
      <w:rPr>
        <w:rFonts w:ascii="Arial" w:hAnsi="Arial" w:cs="Arial"/>
        <w:b/>
        <w:sz w:val="20"/>
        <w:szCs w:val="20"/>
      </w:rPr>
      <w:t xml:space="preserve"> </w:t>
    </w:r>
    <w:r w:rsidR="003713E9">
      <w:rPr>
        <w:rFonts w:ascii="Arial" w:hAnsi="Arial" w:cs="Arial"/>
        <w:b/>
        <w:sz w:val="20"/>
        <w:szCs w:val="20"/>
      </w:rPr>
      <w:t>June</w:t>
    </w:r>
    <w:r w:rsidR="00AA5C64" w:rsidRPr="00D75C46">
      <w:rPr>
        <w:rFonts w:ascii="Arial" w:hAnsi="Arial" w:cs="Arial"/>
        <w:b/>
        <w:sz w:val="20"/>
        <w:szCs w:val="20"/>
      </w:rPr>
      <w:t xml:space="preserve"> 20</w:t>
    </w:r>
    <w:r w:rsidR="00267F44">
      <w:rPr>
        <w:rFonts w:ascii="Arial" w:hAnsi="Arial" w:cs="Arial"/>
        <w:b/>
        <w:sz w:val="20"/>
        <w:szCs w:val="20"/>
        <w:lang w:val="en-US"/>
      </w:rPr>
      <w:t>2</w:t>
    </w:r>
    <w:r w:rsidR="003713E9">
      <w:rPr>
        <w:rFonts w:ascii="Arial" w:hAnsi="Arial" w:cs="Arial"/>
        <w:b/>
        <w:sz w:val="20"/>
        <w:szCs w:val="20"/>
        <w:lang w:val="en-US"/>
      </w:rPr>
      <w:t>4</w:t>
    </w:r>
  </w:p>
  <w:p w14:paraId="7AF8770F" w14:textId="77777777" w:rsidR="00AA5C64" w:rsidRDefault="005F7C33" w:rsidP="00913AE7">
    <w:pPr>
      <w:pStyle w:val="Header"/>
      <w:tabs>
        <w:tab w:val="clear" w:pos="4513"/>
        <w:tab w:val="clear" w:pos="9026"/>
      </w:tabs>
      <w:rPr>
        <w:rFonts w:ascii="Arial" w:hAnsi="Arial" w:cs="Arial"/>
        <w:b/>
        <w:sz w:val="20"/>
        <w:szCs w:val="20"/>
      </w:rPr>
    </w:pPr>
    <w:r>
      <w:rPr>
        <w:rFonts w:ascii="Arial" w:hAnsi="Arial" w:cs="Arial"/>
        <w:b/>
        <w:i/>
        <w:sz w:val="20"/>
        <w:szCs w:val="20"/>
      </w:rPr>
      <w:t xml:space="preserve">       </w:t>
    </w:r>
    <w:r w:rsidR="00C7403E">
      <w:rPr>
        <w:rFonts w:ascii="Arial" w:hAnsi="Arial" w:cs="Arial"/>
        <w:b/>
        <w:i/>
        <w:sz w:val="20"/>
        <w:szCs w:val="20"/>
      </w:rPr>
      <w:t xml:space="preserve">           </w:t>
    </w:r>
    <w:r w:rsidR="00AA5C64" w:rsidRPr="00913AE7">
      <w:rPr>
        <w:rFonts w:ascii="Arial" w:hAnsi="Arial" w:cs="Arial"/>
        <w:sz w:val="16"/>
        <w:szCs w:val="16"/>
      </w:rPr>
      <w:t>Jurnal Ilmu Kesehatan dan Kedokteran Keluarga</w:t>
    </w:r>
    <w:r w:rsidR="00AA5C64">
      <w:rPr>
        <w:rFonts w:ascii="Arial" w:hAnsi="Arial" w:cs="Arial"/>
        <w:b/>
        <w:i/>
        <w:sz w:val="20"/>
        <w:szCs w:val="20"/>
      </w:rPr>
      <w:tab/>
    </w:r>
    <w:r w:rsidR="00913AE7">
      <w:rPr>
        <w:rFonts w:ascii="Arial" w:hAnsi="Arial" w:cs="Arial"/>
        <w:b/>
        <w:i/>
        <w:sz w:val="20"/>
        <w:szCs w:val="20"/>
      </w:rPr>
      <w:t xml:space="preserve">       </w:t>
    </w:r>
    <w:r w:rsidR="00A07213" w:rsidRPr="00913AE7">
      <w:rPr>
        <w:rFonts w:ascii="Arial" w:hAnsi="Arial" w:cs="Arial"/>
        <w:b/>
        <w:sz w:val="16"/>
        <w:szCs w:val="16"/>
      </w:rPr>
      <w:t>p</w:t>
    </w:r>
    <w:r w:rsidR="00A07213" w:rsidRPr="00913AE7">
      <w:rPr>
        <w:rFonts w:ascii="Arial" w:hAnsi="Arial" w:cs="Arial"/>
        <w:b/>
        <w:i/>
        <w:sz w:val="16"/>
        <w:szCs w:val="16"/>
      </w:rPr>
      <w:t>-</w:t>
    </w:r>
    <w:r w:rsidR="00AA5C64" w:rsidRPr="00913AE7">
      <w:rPr>
        <w:rFonts w:ascii="Arial" w:hAnsi="Arial" w:cs="Arial"/>
        <w:b/>
        <w:sz w:val="16"/>
        <w:szCs w:val="16"/>
      </w:rPr>
      <w:t>ISSN</w:t>
    </w:r>
    <w:r w:rsidR="00B01EF4" w:rsidRPr="00913AE7">
      <w:rPr>
        <w:rFonts w:ascii="Arial" w:hAnsi="Arial" w:cs="Arial"/>
        <w:b/>
        <w:sz w:val="16"/>
        <w:szCs w:val="16"/>
      </w:rPr>
      <w:t xml:space="preserve"> </w:t>
    </w:r>
    <w:r w:rsidR="00AA5C64" w:rsidRPr="00913AE7">
      <w:rPr>
        <w:rFonts w:ascii="Arial" w:hAnsi="Arial" w:cs="Arial"/>
        <w:b/>
        <w:sz w:val="16"/>
        <w:szCs w:val="16"/>
      </w:rPr>
      <w:t xml:space="preserve">: </w:t>
    </w:r>
    <w:hyperlink r:id="rId2" w:history="1">
      <w:r w:rsidR="00AA5C64" w:rsidRPr="00913AE7">
        <w:rPr>
          <w:rStyle w:val="Hyperlink"/>
          <w:rFonts w:ascii="Arial" w:hAnsi="Arial" w:cs="Arial"/>
          <w:b/>
          <w:sz w:val="16"/>
          <w:szCs w:val="16"/>
        </w:rPr>
        <w:t>0216-759X</w:t>
      </w:r>
    </w:hyperlink>
    <w:r w:rsidR="00A07213" w:rsidRPr="00913AE7">
      <w:rPr>
        <w:rFonts w:ascii="Arial" w:hAnsi="Arial" w:cs="Arial"/>
        <w:b/>
        <w:sz w:val="16"/>
        <w:szCs w:val="16"/>
      </w:rPr>
      <w:t xml:space="preserve"> e-</w:t>
    </w:r>
    <w:r w:rsidR="00AA5C64" w:rsidRPr="00913AE7">
      <w:rPr>
        <w:rFonts w:ascii="Arial" w:hAnsi="Arial" w:cs="Arial"/>
        <w:b/>
        <w:sz w:val="16"/>
        <w:szCs w:val="16"/>
      </w:rPr>
      <w:t>ISSN</w:t>
    </w:r>
    <w:r w:rsidR="00B01EF4" w:rsidRPr="00913AE7">
      <w:rPr>
        <w:rFonts w:ascii="Arial" w:hAnsi="Arial" w:cs="Arial"/>
        <w:b/>
        <w:sz w:val="16"/>
        <w:szCs w:val="16"/>
      </w:rPr>
      <w:t xml:space="preserve"> </w:t>
    </w:r>
    <w:r w:rsidR="00AA5C64" w:rsidRPr="00913AE7">
      <w:rPr>
        <w:rFonts w:ascii="Arial" w:hAnsi="Arial" w:cs="Arial"/>
        <w:b/>
        <w:sz w:val="16"/>
        <w:szCs w:val="16"/>
      </w:rPr>
      <w:t>:</w:t>
    </w:r>
    <w:r w:rsidR="00B01EF4" w:rsidRPr="00913AE7">
      <w:rPr>
        <w:rFonts w:ascii="Arial" w:hAnsi="Arial" w:cs="Arial"/>
        <w:b/>
        <w:sz w:val="16"/>
        <w:szCs w:val="16"/>
      </w:rPr>
      <w:t xml:space="preserve"> </w:t>
    </w:r>
    <w:hyperlink r:id="rId3" w:tgtFrame="_blank" w:history="1">
      <w:r w:rsidR="00AA5C64" w:rsidRPr="00913AE7">
        <w:rPr>
          <w:rStyle w:val="Hyperlink"/>
          <w:rFonts w:ascii="Arial" w:hAnsi="Arial" w:cs="Arial"/>
          <w:b/>
          <w:sz w:val="16"/>
          <w:szCs w:val="16"/>
        </w:rPr>
        <w:t>2614-</w:t>
      </w:r>
      <w:r w:rsidR="00913AE7">
        <w:rPr>
          <w:rStyle w:val="Hyperlink"/>
          <w:rFonts w:ascii="Arial" w:hAnsi="Arial" w:cs="Arial"/>
          <w:b/>
          <w:sz w:val="16"/>
          <w:szCs w:val="16"/>
        </w:rPr>
        <w:t>X</w:t>
      </w:r>
      <w:r w:rsidR="00AA5C64" w:rsidRPr="00913AE7">
        <w:rPr>
          <w:rStyle w:val="Hyperlink"/>
          <w:rFonts w:ascii="Arial" w:hAnsi="Arial" w:cs="Arial"/>
          <w:b/>
          <w:sz w:val="16"/>
          <w:szCs w:val="16"/>
        </w:rPr>
        <w:t>476X</w:t>
      </w:r>
    </w:hyperlink>
  </w:p>
  <w:p w14:paraId="28FC6F57" w14:textId="77777777" w:rsidR="00A07213" w:rsidRPr="00BD4F45" w:rsidRDefault="00283924" w:rsidP="00913AE7">
    <w:pPr>
      <w:pStyle w:val="Header"/>
      <w:tabs>
        <w:tab w:val="clear" w:pos="9026"/>
        <w:tab w:val="left" w:pos="993"/>
      </w:tabs>
      <w:rPr>
        <w:rFonts w:ascii="Arial" w:hAnsi="Arial" w:cs="Arial"/>
        <w:sz w:val="20"/>
        <w:szCs w:val="20"/>
      </w:rPr>
    </w:pPr>
    <w:r>
      <w:rPr>
        <w:rFonts w:ascii="Arial" w:hAnsi="Arial" w:cs="Arial"/>
        <w:sz w:val="20"/>
        <w:szCs w:val="20"/>
      </w:rPr>
      <w:tab/>
    </w:r>
    <w:r w:rsidRPr="00913AE7">
      <w:rPr>
        <w:rFonts w:ascii="Arial" w:hAnsi="Arial" w:cs="Arial"/>
        <w:sz w:val="16"/>
        <w:szCs w:val="16"/>
      </w:rPr>
      <w:t>F</w:t>
    </w:r>
    <w:r w:rsidR="00877078">
      <w:rPr>
        <w:rFonts w:ascii="Arial" w:hAnsi="Arial" w:cs="Arial"/>
        <w:sz w:val="16"/>
        <w:szCs w:val="16"/>
      </w:rPr>
      <w:t xml:space="preserve">aculty of Medicine </w:t>
    </w:r>
    <w:r w:rsidRPr="00913AE7">
      <w:rPr>
        <w:rFonts w:ascii="Arial" w:hAnsi="Arial" w:cs="Arial"/>
        <w:sz w:val="16"/>
        <w:szCs w:val="16"/>
      </w:rPr>
      <w:t>UMM</w:t>
    </w:r>
    <w:r>
      <w:rPr>
        <w:rFonts w:ascii="Arial" w:hAnsi="Arial" w:cs="Arial"/>
        <w:sz w:val="20"/>
        <w:szCs w:val="20"/>
      </w:rPr>
      <w:t xml:space="preserve"> </w:t>
    </w:r>
    <w:r w:rsidR="00913AE7">
      <w:rPr>
        <w:rFonts w:ascii="Arial" w:hAnsi="Arial" w:cs="Arial"/>
        <w:sz w:val="20"/>
        <w:szCs w:val="20"/>
      </w:rPr>
      <w:t xml:space="preserve">                                          </w:t>
    </w:r>
    <w:r w:rsidR="00267F44">
      <w:rPr>
        <w:rFonts w:ascii="Arial" w:hAnsi="Arial" w:cs="Arial"/>
        <w:sz w:val="20"/>
        <w:szCs w:val="20"/>
        <w:lang w:val="en-US"/>
      </w:rPr>
      <w:t xml:space="preserve">  </w:t>
    </w:r>
    <w:r w:rsidR="00913AE7">
      <w:rPr>
        <w:rFonts w:ascii="Arial" w:hAnsi="Arial" w:cs="Arial"/>
        <w:sz w:val="20"/>
        <w:szCs w:val="20"/>
      </w:rPr>
      <w:t xml:space="preserve"> </w:t>
    </w:r>
    <w:hyperlink r:id="rId4" w:history="1">
      <w:r w:rsidR="00913AE7" w:rsidRPr="00A328CB">
        <w:rPr>
          <w:rStyle w:val="Hyperlink"/>
          <w:rFonts w:ascii="Arial" w:hAnsi="Arial" w:cs="Arial"/>
          <w:sz w:val="16"/>
          <w:szCs w:val="16"/>
        </w:rPr>
        <w:t>http://ejournal.umm.ac.id/index.php/sainmed</w:t>
      </w:r>
    </w:hyperlink>
  </w:p>
  <w:p w14:paraId="77481DDD" w14:textId="2A913A84" w:rsidR="00AA5C64" w:rsidRDefault="00E82BE1" w:rsidP="00E82BE1">
    <w:pPr>
      <w:pStyle w:val="Header"/>
      <w:tabs>
        <w:tab w:val="left" w:pos="8518"/>
      </w:tabs>
      <w:rPr>
        <w:szCs w:val="20"/>
      </w:rPr>
    </w:pPr>
    <w:r>
      <w:rPr>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0FBA4" w14:textId="77777777" w:rsidR="00372FA1" w:rsidRDefault="001C484A" w:rsidP="00AF5ECF">
    <w:pPr>
      <w:pStyle w:val="Header"/>
      <w:tabs>
        <w:tab w:val="clear" w:pos="9026"/>
      </w:tabs>
      <w:ind w:right="141"/>
    </w:pPr>
    <w:r>
      <w:rPr>
        <w:rFonts w:ascii="Garamond" w:hAnsi="Garamond" w:cs="Arial"/>
        <w:b/>
        <w:noProof/>
        <w:color w:val="FFFFFF" w:themeColor="background1"/>
        <w:sz w:val="20"/>
        <w:szCs w:val="20"/>
        <w:lang w:val="en-US"/>
      </w:rPr>
      <mc:AlternateContent>
        <mc:Choice Requires="wps">
          <w:drawing>
            <wp:anchor distT="0" distB="0" distL="114300" distR="114300" simplePos="0" relativeHeight="251663360" behindDoc="1" locked="0" layoutInCell="1" allowOverlap="1" wp14:anchorId="0A2A96BF" wp14:editId="1EE5DF40">
              <wp:simplePos x="0" y="0"/>
              <wp:positionH relativeFrom="column">
                <wp:posOffset>5715</wp:posOffset>
              </wp:positionH>
              <wp:positionV relativeFrom="paragraph">
                <wp:posOffset>-19050</wp:posOffset>
              </wp:positionV>
              <wp:extent cx="5393055" cy="179705"/>
              <wp:effectExtent l="5715" t="9525" r="11430" b="1079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055" cy="1797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422B6" id="Rectangle 14" o:spid="_x0000_s1026" style="position:absolute;margin-left:.45pt;margin-top:-1.5pt;width:424.6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" fillcolor="black [3213]"/>
          </w:pict>
        </mc:Fallback>
      </mc:AlternateContent>
    </w:r>
    <w:r w:rsidR="00AF5ECF">
      <w:t xml:space="preserve"> </w:t>
    </w:r>
    <w:r w:rsidR="00AF5ECF" w:rsidRPr="00AF5ECF">
      <w:rPr>
        <w:sz w:val="20"/>
        <w:szCs w:val="20"/>
      </w:rPr>
      <w:t xml:space="preserve"> </w:t>
    </w:r>
    <w:r w:rsidR="00AF5ECF" w:rsidRPr="00AF5ECF">
      <w:rPr>
        <w:rFonts w:ascii="Garamond" w:hAnsi="Garamond" w:cs="Arial"/>
        <w:b/>
        <w:color w:val="FFFFFF" w:themeColor="background1"/>
        <w:sz w:val="20"/>
        <w:szCs w:val="20"/>
      </w:rPr>
      <w:t>4</w:t>
    </w:r>
    <w:r w:rsidR="00AF5ECF" w:rsidRPr="00AF5ECF">
      <w:rPr>
        <w:color w:val="FFFFFF" w:themeColor="background1"/>
        <w:sz w:val="20"/>
        <w:szCs w:val="20"/>
      </w:rPr>
      <w:t xml:space="preserve">   </w:t>
    </w:r>
    <w:r w:rsidR="00AF5ECF" w:rsidRPr="00AF5ECF">
      <w:rPr>
        <w:sz w:val="20"/>
        <w:szCs w:val="20"/>
      </w:rPr>
      <w:t xml:space="preserve">  </w:t>
    </w:r>
    <w:r w:rsidR="00AF5ECF" w:rsidRPr="00AF5ECF">
      <w:rPr>
        <w:rFonts w:ascii="Garamond" w:hAnsi="Garamond" w:cs="Arial"/>
        <w:b/>
        <w:color w:val="FFFFFF" w:themeColor="background1"/>
        <w:sz w:val="20"/>
        <w:szCs w:val="20"/>
      </w:rPr>
      <w:t>Yuliarta L.,</w:t>
    </w:r>
    <w:r w:rsidR="00AF5ECF" w:rsidRPr="00AF5ECF">
      <w:rPr>
        <w:rFonts w:ascii="Garamond" w:hAnsi="Garamond"/>
        <w:b/>
        <w:color w:val="FFFFFF" w:themeColor="background1"/>
        <w:sz w:val="20"/>
        <w:szCs w:val="20"/>
      </w:rPr>
      <w:t xml:space="preserve"> Bahrudin/ SM Vol.xx No.1 Juni 20xx Hal xx-xx</w:t>
    </w:r>
    <w:r w:rsidR="00AF5ECF" w:rsidRPr="00AF5ECF">
      <w:rPr>
        <w:color w:val="FFFFFF" w:themeColor="background1"/>
        <w:sz w:val="20"/>
        <w:szCs w:val="20"/>
      </w:rPr>
      <w:t xml:space="preserve">     </w:t>
    </w:r>
  </w:p>
  <w:p w14:paraId="7A027574" w14:textId="77777777" w:rsidR="00372FA1" w:rsidRDefault="0037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34798"/>
    <w:multiLevelType w:val="multilevel"/>
    <w:tmpl w:val="77624D9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ED0D10"/>
    <w:multiLevelType w:val="hybridMultilevel"/>
    <w:tmpl w:val="AE7A2E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663602F"/>
    <w:multiLevelType w:val="multilevel"/>
    <w:tmpl w:val="7B84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3C6085"/>
    <w:multiLevelType w:val="multilevel"/>
    <w:tmpl w:val="24BEF3D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0201D1F"/>
    <w:multiLevelType w:val="hybridMultilevel"/>
    <w:tmpl w:val="E1E47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61712"/>
    <w:multiLevelType w:val="hybridMultilevel"/>
    <w:tmpl w:val="4414249E"/>
    <w:lvl w:ilvl="0" w:tplc="ACA4B98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A31732E"/>
    <w:multiLevelType w:val="multilevel"/>
    <w:tmpl w:val="F0849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B803F35"/>
    <w:multiLevelType w:val="multilevel"/>
    <w:tmpl w:val="10DAF89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645821309">
    <w:abstractNumId w:val="1"/>
  </w:num>
  <w:num w:numId="2" w16cid:durableId="2024166894">
    <w:abstractNumId w:val="0"/>
  </w:num>
  <w:num w:numId="3" w16cid:durableId="2069300421">
    <w:abstractNumId w:val="2"/>
  </w:num>
  <w:num w:numId="4" w16cid:durableId="1196819103">
    <w:abstractNumId w:val="5"/>
  </w:num>
  <w:num w:numId="5" w16cid:durableId="1577395113">
    <w:abstractNumId w:val="4"/>
  </w:num>
  <w:num w:numId="6" w16cid:durableId="2075622593">
    <w:abstractNumId w:val="6"/>
  </w:num>
  <w:num w:numId="7" w16cid:durableId="524365583">
    <w:abstractNumId w:val="3"/>
  </w:num>
  <w:num w:numId="8" w16cid:durableId="974212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B5"/>
    <w:rsid w:val="000054BD"/>
    <w:rsid w:val="00022B27"/>
    <w:rsid w:val="000240CC"/>
    <w:rsid w:val="000324F5"/>
    <w:rsid w:val="000424D5"/>
    <w:rsid w:val="000474B7"/>
    <w:rsid w:val="00055153"/>
    <w:rsid w:val="000642B1"/>
    <w:rsid w:val="00090D51"/>
    <w:rsid w:val="000C4BE2"/>
    <w:rsid w:val="000D31F8"/>
    <w:rsid w:val="000E1D2D"/>
    <w:rsid w:val="000E2D93"/>
    <w:rsid w:val="000E3F1A"/>
    <w:rsid w:val="000F32C6"/>
    <w:rsid w:val="00121585"/>
    <w:rsid w:val="00141B09"/>
    <w:rsid w:val="00144F9B"/>
    <w:rsid w:val="001518BF"/>
    <w:rsid w:val="00161B26"/>
    <w:rsid w:val="00165FA9"/>
    <w:rsid w:val="00166490"/>
    <w:rsid w:val="001A124B"/>
    <w:rsid w:val="001A3006"/>
    <w:rsid w:val="001C484A"/>
    <w:rsid w:val="001F3992"/>
    <w:rsid w:val="00216F9C"/>
    <w:rsid w:val="00241A8C"/>
    <w:rsid w:val="00241F5B"/>
    <w:rsid w:val="0026219F"/>
    <w:rsid w:val="0026540B"/>
    <w:rsid w:val="00267F44"/>
    <w:rsid w:val="002720D0"/>
    <w:rsid w:val="0027289C"/>
    <w:rsid w:val="002829D7"/>
    <w:rsid w:val="00283924"/>
    <w:rsid w:val="002A2451"/>
    <w:rsid w:val="002B6BC0"/>
    <w:rsid w:val="002C1784"/>
    <w:rsid w:val="002F48F6"/>
    <w:rsid w:val="00312052"/>
    <w:rsid w:val="00312550"/>
    <w:rsid w:val="00325548"/>
    <w:rsid w:val="00362C96"/>
    <w:rsid w:val="003713E9"/>
    <w:rsid w:val="00372FA1"/>
    <w:rsid w:val="00380C73"/>
    <w:rsid w:val="00396643"/>
    <w:rsid w:val="003A4B20"/>
    <w:rsid w:val="003B44F1"/>
    <w:rsid w:val="003D09E0"/>
    <w:rsid w:val="003E7221"/>
    <w:rsid w:val="003F0D73"/>
    <w:rsid w:val="0040431B"/>
    <w:rsid w:val="00421D2F"/>
    <w:rsid w:val="0042631E"/>
    <w:rsid w:val="00431C81"/>
    <w:rsid w:val="0046203B"/>
    <w:rsid w:val="0047324F"/>
    <w:rsid w:val="004768F0"/>
    <w:rsid w:val="00486AB1"/>
    <w:rsid w:val="00494257"/>
    <w:rsid w:val="004A2C7A"/>
    <w:rsid w:val="004C4FF5"/>
    <w:rsid w:val="004E0C95"/>
    <w:rsid w:val="004E3981"/>
    <w:rsid w:val="004E53D6"/>
    <w:rsid w:val="00502CA6"/>
    <w:rsid w:val="0050754D"/>
    <w:rsid w:val="0051302F"/>
    <w:rsid w:val="0052600E"/>
    <w:rsid w:val="005318E6"/>
    <w:rsid w:val="005429FE"/>
    <w:rsid w:val="00555BEA"/>
    <w:rsid w:val="00556229"/>
    <w:rsid w:val="005637A1"/>
    <w:rsid w:val="0057396C"/>
    <w:rsid w:val="00582161"/>
    <w:rsid w:val="005A0C32"/>
    <w:rsid w:val="005A4A75"/>
    <w:rsid w:val="005B0468"/>
    <w:rsid w:val="005C5316"/>
    <w:rsid w:val="005C693A"/>
    <w:rsid w:val="005C6A6D"/>
    <w:rsid w:val="005D7EA3"/>
    <w:rsid w:val="005E17CA"/>
    <w:rsid w:val="005E26D8"/>
    <w:rsid w:val="005F7C33"/>
    <w:rsid w:val="00605829"/>
    <w:rsid w:val="00626BE6"/>
    <w:rsid w:val="0063129B"/>
    <w:rsid w:val="006316BB"/>
    <w:rsid w:val="006438B3"/>
    <w:rsid w:val="00650AE1"/>
    <w:rsid w:val="006531D9"/>
    <w:rsid w:val="00670BCE"/>
    <w:rsid w:val="00670C82"/>
    <w:rsid w:val="006804AF"/>
    <w:rsid w:val="006853B0"/>
    <w:rsid w:val="006E1B50"/>
    <w:rsid w:val="006E6E62"/>
    <w:rsid w:val="006E7C60"/>
    <w:rsid w:val="00706D87"/>
    <w:rsid w:val="00727E4A"/>
    <w:rsid w:val="00733A0B"/>
    <w:rsid w:val="007519F3"/>
    <w:rsid w:val="007722F7"/>
    <w:rsid w:val="007A4F5D"/>
    <w:rsid w:val="007B44B6"/>
    <w:rsid w:val="007C02E0"/>
    <w:rsid w:val="007D307F"/>
    <w:rsid w:val="007D513E"/>
    <w:rsid w:val="007E5E4E"/>
    <w:rsid w:val="007E608D"/>
    <w:rsid w:val="007F08EC"/>
    <w:rsid w:val="008333CD"/>
    <w:rsid w:val="00835162"/>
    <w:rsid w:val="00842EDC"/>
    <w:rsid w:val="00852D1B"/>
    <w:rsid w:val="008763C5"/>
    <w:rsid w:val="00877078"/>
    <w:rsid w:val="008A2B01"/>
    <w:rsid w:val="008A3AA7"/>
    <w:rsid w:val="008F375D"/>
    <w:rsid w:val="008F4E72"/>
    <w:rsid w:val="008F5E39"/>
    <w:rsid w:val="009003FF"/>
    <w:rsid w:val="00913AE7"/>
    <w:rsid w:val="00925B64"/>
    <w:rsid w:val="00927308"/>
    <w:rsid w:val="0093451B"/>
    <w:rsid w:val="009349E3"/>
    <w:rsid w:val="00941FB4"/>
    <w:rsid w:val="0095652D"/>
    <w:rsid w:val="0096109E"/>
    <w:rsid w:val="00961E3E"/>
    <w:rsid w:val="009926B5"/>
    <w:rsid w:val="009A2BF1"/>
    <w:rsid w:val="009C2DF8"/>
    <w:rsid w:val="009C45D0"/>
    <w:rsid w:val="009C708B"/>
    <w:rsid w:val="009D4F8E"/>
    <w:rsid w:val="009E1713"/>
    <w:rsid w:val="009E2137"/>
    <w:rsid w:val="009E23F3"/>
    <w:rsid w:val="00A03F10"/>
    <w:rsid w:val="00A07213"/>
    <w:rsid w:val="00A075C7"/>
    <w:rsid w:val="00A07F33"/>
    <w:rsid w:val="00A11A86"/>
    <w:rsid w:val="00A319E5"/>
    <w:rsid w:val="00A36B13"/>
    <w:rsid w:val="00A52924"/>
    <w:rsid w:val="00A81CA0"/>
    <w:rsid w:val="00A9428C"/>
    <w:rsid w:val="00A95697"/>
    <w:rsid w:val="00AA5C64"/>
    <w:rsid w:val="00AB439E"/>
    <w:rsid w:val="00AC3113"/>
    <w:rsid w:val="00AC4649"/>
    <w:rsid w:val="00AD5234"/>
    <w:rsid w:val="00AF5ECF"/>
    <w:rsid w:val="00B01884"/>
    <w:rsid w:val="00B01EF4"/>
    <w:rsid w:val="00B06A19"/>
    <w:rsid w:val="00B169F5"/>
    <w:rsid w:val="00B23DFA"/>
    <w:rsid w:val="00B3167A"/>
    <w:rsid w:val="00B44143"/>
    <w:rsid w:val="00B56E01"/>
    <w:rsid w:val="00B6039F"/>
    <w:rsid w:val="00B70191"/>
    <w:rsid w:val="00B725FC"/>
    <w:rsid w:val="00B74CD5"/>
    <w:rsid w:val="00B74DBD"/>
    <w:rsid w:val="00B81026"/>
    <w:rsid w:val="00BB2622"/>
    <w:rsid w:val="00BB6D4A"/>
    <w:rsid w:val="00BC211C"/>
    <w:rsid w:val="00BD3A4F"/>
    <w:rsid w:val="00BD4F45"/>
    <w:rsid w:val="00BE6EE6"/>
    <w:rsid w:val="00BF1220"/>
    <w:rsid w:val="00BF4368"/>
    <w:rsid w:val="00BF4B9B"/>
    <w:rsid w:val="00C1552D"/>
    <w:rsid w:val="00C17921"/>
    <w:rsid w:val="00C26DBD"/>
    <w:rsid w:val="00C34752"/>
    <w:rsid w:val="00C5169D"/>
    <w:rsid w:val="00C70B60"/>
    <w:rsid w:val="00C732D8"/>
    <w:rsid w:val="00C7403E"/>
    <w:rsid w:val="00C7754B"/>
    <w:rsid w:val="00CB28D3"/>
    <w:rsid w:val="00CB540F"/>
    <w:rsid w:val="00CC0379"/>
    <w:rsid w:val="00CD71B9"/>
    <w:rsid w:val="00CD7361"/>
    <w:rsid w:val="00CE26F3"/>
    <w:rsid w:val="00CE3970"/>
    <w:rsid w:val="00D130AF"/>
    <w:rsid w:val="00D30EE7"/>
    <w:rsid w:val="00D31B80"/>
    <w:rsid w:val="00D3252C"/>
    <w:rsid w:val="00D363F8"/>
    <w:rsid w:val="00D43475"/>
    <w:rsid w:val="00D47A81"/>
    <w:rsid w:val="00D75C46"/>
    <w:rsid w:val="00D80334"/>
    <w:rsid w:val="00D869C7"/>
    <w:rsid w:val="00D91BC7"/>
    <w:rsid w:val="00DA0BB5"/>
    <w:rsid w:val="00DA1762"/>
    <w:rsid w:val="00DC2149"/>
    <w:rsid w:val="00DC7B13"/>
    <w:rsid w:val="00DD01F2"/>
    <w:rsid w:val="00DD65D3"/>
    <w:rsid w:val="00DD74B3"/>
    <w:rsid w:val="00DF0687"/>
    <w:rsid w:val="00DF296E"/>
    <w:rsid w:val="00E06846"/>
    <w:rsid w:val="00E16093"/>
    <w:rsid w:val="00E25D0B"/>
    <w:rsid w:val="00E325E4"/>
    <w:rsid w:val="00E423CB"/>
    <w:rsid w:val="00E43E36"/>
    <w:rsid w:val="00E55DEA"/>
    <w:rsid w:val="00E61A94"/>
    <w:rsid w:val="00E82BE1"/>
    <w:rsid w:val="00E8363C"/>
    <w:rsid w:val="00E942C0"/>
    <w:rsid w:val="00E97F24"/>
    <w:rsid w:val="00EA0D29"/>
    <w:rsid w:val="00ED0D50"/>
    <w:rsid w:val="00ED5D61"/>
    <w:rsid w:val="00EF6766"/>
    <w:rsid w:val="00F01C95"/>
    <w:rsid w:val="00F12C92"/>
    <w:rsid w:val="00F400D6"/>
    <w:rsid w:val="00F60329"/>
    <w:rsid w:val="00F63986"/>
    <w:rsid w:val="00F648B3"/>
    <w:rsid w:val="00F84D1C"/>
    <w:rsid w:val="00F92DA5"/>
    <w:rsid w:val="00F93600"/>
    <w:rsid w:val="00F9379C"/>
    <w:rsid w:val="00F9511B"/>
    <w:rsid w:val="00FA202F"/>
    <w:rsid w:val="00FA713F"/>
    <w:rsid w:val="00FB0762"/>
    <w:rsid w:val="00FC1696"/>
    <w:rsid w:val="00FC498F"/>
    <w:rsid w:val="00FD7115"/>
    <w:rsid w:val="00FE429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404"/>
  <w15:docId w15:val="{3A3C5E5E-55E6-4E44-921A-79FDC5C0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F5"/>
    <w:pPr>
      <w:spacing w:after="200" w:line="276" w:lineRule="auto"/>
    </w:pPr>
    <w:rPr>
      <w:sz w:val="22"/>
      <w:szCs w:val="22"/>
      <w:lang w:eastAsia="en-US"/>
    </w:rPr>
  </w:style>
  <w:style w:type="paragraph" w:styleId="Heading1">
    <w:name w:val="heading 1"/>
    <w:basedOn w:val="Normal"/>
    <w:next w:val="Normal"/>
    <w:link w:val="Heading1Char"/>
    <w:uiPriority w:val="9"/>
    <w:qFormat/>
    <w:rsid w:val="00555BEA"/>
    <w:pPr>
      <w:keepNext/>
      <w:keepLines/>
      <w:spacing w:before="480" w:after="120"/>
      <w:outlineLvl w:val="0"/>
    </w:pPr>
    <w:rPr>
      <w:rFonts w:cs="Calibri"/>
      <w:b/>
      <w:sz w:val="48"/>
      <w:szCs w:val="48"/>
      <w:lang w:val="en" w:eastAsia="en-ID"/>
    </w:rPr>
  </w:style>
  <w:style w:type="paragraph" w:styleId="Heading2">
    <w:name w:val="heading 2"/>
    <w:basedOn w:val="Normal"/>
    <w:next w:val="Normal"/>
    <w:link w:val="Heading2Char"/>
    <w:uiPriority w:val="9"/>
    <w:semiHidden/>
    <w:unhideWhenUsed/>
    <w:qFormat/>
    <w:rsid w:val="00555BEA"/>
    <w:pPr>
      <w:keepNext/>
      <w:keepLines/>
      <w:spacing w:before="360" w:after="80"/>
      <w:outlineLvl w:val="1"/>
    </w:pPr>
    <w:rPr>
      <w:rFonts w:cs="Calibri"/>
      <w:b/>
      <w:sz w:val="36"/>
      <w:szCs w:val="36"/>
      <w:lang w:val="en" w:eastAsia="en-ID"/>
    </w:rPr>
  </w:style>
  <w:style w:type="paragraph" w:styleId="Heading3">
    <w:name w:val="heading 3"/>
    <w:basedOn w:val="Normal"/>
    <w:next w:val="Normal"/>
    <w:link w:val="Heading3Char"/>
    <w:uiPriority w:val="9"/>
    <w:semiHidden/>
    <w:unhideWhenUsed/>
    <w:qFormat/>
    <w:rsid w:val="00555BEA"/>
    <w:pPr>
      <w:keepNext/>
      <w:keepLines/>
      <w:spacing w:before="280" w:after="80"/>
      <w:outlineLvl w:val="2"/>
    </w:pPr>
    <w:rPr>
      <w:rFonts w:cs="Calibri"/>
      <w:b/>
      <w:sz w:val="28"/>
      <w:szCs w:val="28"/>
      <w:lang w:val="en" w:eastAsia="en-ID"/>
    </w:rPr>
  </w:style>
  <w:style w:type="paragraph" w:styleId="Heading4">
    <w:name w:val="heading 4"/>
    <w:basedOn w:val="Normal"/>
    <w:next w:val="Normal"/>
    <w:link w:val="Heading4Char"/>
    <w:uiPriority w:val="9"/>
    <w:semiHidden/>
    <w:unhideWhenUsed/>
    <w:qFormat/>
    <w:rsid w:val="00555BEA"/>
    <w:pPr>
      <w:keepNext/>
      <w:keepLines/>
      <w:spacing w:before="240" w:after="40"/>
      <w:outlineLvl w:val="3"/>
    </w:pPr>
    <w:rPr>
      <w:rFonts w:cs="Calibri"/>
      <w:b/>
      <w:sz w:val="24"/>
      <w:szCs w:val="24"/>
      <w:lang w:val="en" w:eastAsia="en-ID"/>
    </w:rPr>
  </w:style>
  <w:style w:type="paragraph" w:styleId="Heading5">
    <w:name w:val="heading 5"/>
    <w:basedOn w:val="Normal"/>
    <w:next w:val="Normal"/>
    <w:link w:val="Heading5Char"/>
    <w:uiPriority w:val="9"/>
    <w:semiHidden/>
    <w:unhideWhenUsed/>
    <w:qFormat/>
    <w:rsid w:val="00555BEA"/>
    <w:pPr>
      <w:keepNext/>
      <w:keepLines/>
      <w:spacing w:before="220" w:after="40"/>
      <w:outlineLvl w:val="4"/>
    </w:pPr>
    <w:rPr>
      <w:rFonts w:cs="Calibri"/>
      <w:b/>
      <w:lang w:val="en" w:eastAsia="en-ID"/>
    </w:rPr>
  </w:style>
  <w:style w:type="paragraph" w:styleId="Heading6">
    <w:name w:val="heading 6"/>
    <w:basedOn w:val="Normal"/>
    <w:next w:val="Normal"/>
    <w:link w:val="Heading6Char"/>
    <w:uiPriority w:val="9"/>
    <w:semiHidden/>
    <w:unhideWhenUsed/>
    <w:qFormat/>
    <w:rsid w:val="00555BEA"/>
    <w:pPr>
      <w:keepNext/>
      <w:keepLines/>
      <w:spacing w:before="200" w:after="40"/>
      <w:outlineLvl w:val="5"/>
    </w:pPr>
    <w:rPr>
      <w:rFonts w:cs="Calibri"/>
      <w:b/>
      <w:sz w:val="20"/>
      <w:szCs w:val="20"/>
      <w:lang w:val="en"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65FA9"/>
    <w:rPr>
      <w:color w:val="0000FF"/>
      <w:u w:val="single"/>
    </w:rPr>
  </w:style>
  <w:style w:type="paragraph" w:styleId="Header">
    <w:name w:val="header"/>
    <w:basedOn w:val="Normal"/>
    <w:link w:val="HeaderChar"/>
    <w:uiPriority w:val="99"/>
    <w:unhideWhenUsed/>
    <w:rsid w:val="008F5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E39"/>
  </w:style>
  <w:style w:type="paragraph" w:styleId="Footer">
    <w:name w:val="footer"/>
    <w:basedOn w:val="Normal"/>
    <w:link w:val="FooterChar"/>
    <w:uiPriority w:val="99"/>
    <w:unhideWhenUsed/>
    <w:rsid w:val="008F5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E39"/>
  </w:style>
  <w:style w:type="paragraph" w:styleId="BalloonText">
    <w:name w:val="Balloon Text"/>
    <w:basedOn w:val="Normal"/>
    <w:link w:val="BalloonTextChar"/>
    <w:uiPriority w:val="99"/>
    <w:semiHidden/>
    <w:unhideWhenUsed/>
    <w:rsid w:val="008F5E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5E39"/>
    <w:rPr>
      <w:rFonts w:ascii="Tahoma" w:hAnsi="Tahoma" w:cs="Tahoma"/>
      <w:sz w:val="16"/>
      <w:szCs w:val="16"/>
    </w:rPr>
  </w:style>
  <w:style w:type="table" w:customStyle="1" w:styleId="TableGrid2">
    <w:name w:val="Table Grid2"/>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090D5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90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6039F"/>
    <w:rPr>
      <w:i/>
      <w:iCs/>
    </w:rPr>
  </w:style>
  <w:style w:type="character" w:styleId="HTMLCite">
    <w:name w:val="HTML Cite"/>
    <w:basedOn w:val="DefaultParagraphFont"/>
    <w:uiPriority w:val="99"/>
    <w:semiHidden/>
    <w:unhideWhenUsed/>
    <w:rsid w:val="00B6039F"/>
    <w:rPr>
      <w:i/>
      <w:iCs/>
    </w:rPr>
  </w:style>
  <w:style w:type="paragraph" w:styleId="NormalWeb">
    <w:name w:val="Normal (Web)"/>
    <w:basedOn w:val="Normal"/>
    <w:uiPriority w:val="99"/>
    <w:semiHidden/>
    <w:unhideWhenUsed/>
    <w:rsid w:val="0096109E"/>
    <w:pPr>
      <w:spacing w:before="100" w:beforeAutospacing="1" w:after="100" w:afterAutospacing="1" w:line="240" w:lineRule="auto"/>
    </w:pPr>
    <w:rPr>
      <w:rFonts w:ascii="Times New Roman" w:eastAsia="Times New Roman" w:hAnsi="Times New Roman"/>
      <w:sz w:val="24"/>
      <w:szCs w:val="24"/>
      <w:lang w:eastAsia="id-ID"/>
    </w:rPr>
  </w:style>
  <w:style w:type="paragraph" w:styleId="ListParagraph">
    <w:name w:val="List Paragraph"/>
    <w:basedOn w:val="Normal"/>
    <w:uiPriority w:val="34"/>
    <w:qFormat/>
    <w:rsid w:val="005F7C33"/>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BB2622"/>
    <w:rPr>
      <w:b/>
      <w:bCs/>
    </w:rPr>
  </w:style>
  <w:style w:type="character" w:styleId="FollowedHyperlink">
    <w:name w:val="FollowedHyperlink"/>
    <w:basedOn w:val="DefaultParagraphFont"/>
    <w:uiPriority w:val="99"/>
    <w:semiHidden/>
    <w:unhideWhenUsed/>
    <w:rsid w:val="00B01EF4"/>
    <w:rPr>
      <w:color w:val="800080" w:themeColor="followedHyperlink"/>
      <w:u w:val="single"/>
    </w:rPr>
  </w:style>
  <w:style w:type="paragraph" w:customStyle="1" w:styleId="Normal1">
    <w:name w:val="Normal1"/>
    <w:rsid w:val="00FC498F"/>
    <w:pPr>
      <w:spacing w:after="160" w:line="259" w:lineRule="auto"/>
    </w:pPr>
    <w:rPr>
      <w:rFonts w:cs="Calibri"/>
      <w:sz w:val="22"/>
      <w:szCs w:val="22"/>
    </w:rPr>
  </w:style>
  <w:style w:type="character" w:styleId="UnresolvedMention">
    <w:name w:val="Unresolved Mention"/>
    <w:basedOn w:val="DefaultParagraphFont"/>
    <w:uiPriority w:val="99"/>
    <w:semiHidden/>
    <w:unhideWhenUsed/>
    <w:rsid w:val="00E942C0"/>
    <w:rPr>
      <w:color w:val="605E5C"/>
      <w:shd w:val="clear" w:color="auto" w:fill="E1DFDD"/>
    </w:rPr>
  </w:style>
  <w:style w:type="table" w:customStyle="1" w:styleId="TableGrid1">
    <w:name w:val="Table Grid1"/>
    <w:basedOn w:val="TableNormal"/>
    <w:next w:val="TableGrid"/>
    <w:uiPriority w:val="39"/>
    <w:qFormat/>
    <w:rsid w:val="00CB54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713E9"/>
    <w:rPr>
      <w:rFonts w:eastAsia="Times New Roman" w:cs="Shruti"/>
      <w:sz w:val="22"/>
      <w:szCs w:val="22"/>
      <w:lang w:val="en-US" w:eastAsia="en-US"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713E9"/>
    <w:rPr>
      <w:rFonts w:eastAsia="Times New Roman" w:cs="Shruti"/>
      <w:sz w:val="22"/>
      <w:szCs w:val="22"/>
      <w:lang w:val="en-US" w:eastAsia="en-US"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4">
    <w:name w:val="Plain Table 4"/>
    <w:basedOn w:val="TableNormal"/>
    <w:uiPriority w:val="44"/>
    <w:rsid w:val="0016649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5">
    <w:name w:val="Table Grid5"/>
    <w:basedOn w:val="TableNormal"/>
    <w:next w:val="TableGrid"/>
    <w:uiPriority w:val="39"/>
    <w:rsid w:val="007B44B6"/>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5BEA"/>
    <w:rPr>
      <w:rFonts w:cs="Calibri"/>
      <w:b/>
      <w:sz w:val="48"/>
      <w:szCs w:val="48"/>
      <w:lang w:val="en" w:eastAsia="en-ID"/>
    </w:rPr>
  </w:style>
  <w:style w:type="character" w:customStyle="1" w:styleId="Heading2Char">
    <w:name w:val="Heading 2 Char"/>
    <w:basedOn w:val="DefaultParagraphFont"/>
    <w:link w:val="Heading2"/>
    <w:uiPriority w:val="9"/>
    <w:semiHidden/>
    <w:rsid w:val="00555BEA"/>
    <w:rPr>
      <w:rFonts w:cs="Calibri"/>
      <w:b/>
      <w:sz w:val="36"/>
      <w:szCs w:val="36"/>
      <w:lang w:val="en" w:eastAsia="en-ID"/>
    </w:rPr>
  </w:style>
  <w:style w:type="character" w:customStyle="1" w:styleId="Heading3Char">
    <w:name w:val="Heading 3 Char"/>
    <w:basedOn w:val="DefaultParagraphFont"/>
    <w:link w:val="Heading3"/>
    <w:uiPriority w:val="9"/>
    <w:semiHidden/>
    <w:rsid w:val="00555BEA"/>
    <w:rPr>
      <w:rFonts w:cs="Calibri"/>
      <w:b/>
      <w:sz w:val="28"/>
      <w:szCs w:val="28"/>
      <w:lang w:val="en" w:eastAsia="en-ID"/>
    </w:rPr>
  </w:style>
  <w:style w:type="character" w:customStyle="1" w:styleId="Heading4Char">
    <w:name w:val="Heading 4 Char"/>
    <w:basedOn w:val="DefaultParagraphFont"/>
    <w:link w:val="Heading4"/>
    <w:uiPriority w:val="9"/>
    <w:semiHidden/>
    <w:rsid w:val="00555BEA"/>
    <w:rPr>
      <w:rFonts w:cs="Calibri"/>
      <w:b/>
      <w:sz w:val="24"/>
      <w:szCs w:val="24"/>
      <w:lang w:val="en" w:eastAsia="en-ID"/>
    </w:rPr>
  </w:style>
  <w:style w:type="character" w:customStyle="1" w:styleId="Heading5Char">
    <w:name w:val="Heading 5 Char"/>
    <w:basedOn w:val="DefaultParagraphFont"/>
    <w:link w:val="Heading5"/>
    <w:uiPriority w:val="9"/>
    <w:semiHidden/>
    <w:rsid w:val="00555BEA"/>
    <w:rPr>
      <w:rFonts w:cs="Calibri"/>
      <w:b/>
      <w:sz w:val="22"/>
      <w:szCs w:val="22"/>
      <w:lang w:val="en" w:eastAsia="en-ID"/>
    </w:rPr>
  </w:style>
  <w:style w:type="character" w:customStyle="1" w:styleId="Heading6Char">
    <w:name w:val="Heading 6 Char"/>
    <w:basedOn w:val="DefaultParagraphFont"/>
    <w:link w:val="Heading6"/>
    <w:uiPriority w:val="9"/>
    <w:semiHidden/>
    <w:rsid w:val="00555BEA"/>
    <w:rPr>
      <w:rFonts w:cs="Calibri"/>
      <w:b/>
      <w:lang w:val="en" w:eastAsia="en-ID"/>
    </w:rPr>
  </w:style>
  <w:style w:type="paragraph" w:styleId="Title">
    <w:name w:val="Title"/>
    <w:basedOn w:val="Normal"/>
    <w:next w:val="Normal"/>
    <w:link w:val="TitleChar"/>
    <w:uiPriority w:val="10"/>
    <w:qFormat/>
    <w:rsid w:val="00555BEA"/>
    <w:pPr>
      <w:keepNext/>
      <w:keepLines/>
      <w:spacing w:before="480" w:after="120"/>
    </w:pPr>
    <w:rPr>
      <w:rFonts w:cs="Calibri"/>
      <w:b/>
      <w:sz w:val="72"/>
      <w:szCs w:val="72"/>
      <w:lang w:val="en" w:eastAsia="en-ID"/>
    </w:rPr>
  </w:style>
  <w:style w:type="character" w:customStyle="1" w:styleId="TitleChar">
    <w:name w:val="Title Char"/>
    <w:basedOn w:val="DefaultParagraphFont"/>
    <w:link w:val="Title"/>
    <w:uiPriority w:val="10"/>
    <w:rsid w:val="00555BEA"/>
    <w:rPr>
      <w:rFonts w:cs="Calibri"/>
      <w:b/>
      <w:sz w:val="72"/>
      <w:szCs w:val="72"/>
      <w:lang w:val="en" w:eastAsia="en-ID"/>
    </w:rPr>
  </w:style>
  <w:style w:type="paragraph" w:styleId="Subtitle">
    <w:name w:val="Subtitle"/>
    <w:basedOn w:val="Normal"/>
    <w:next w:val="Normal"/>
    <w:link w:val="SubtitleChar"/>
    <w:uiPriority w:val="11"/>
    <w:qFormat/>
    <w:rsid w:val="00555BEA"/>
    <w:pPr>
      <w:keepNext/>
      <w:keepLines/>
      <w:spacing w:before="360" w:after="80"/>
    </w:pPr>
    <w:rPr>
      <w:rFonts w:ascii="Georgia" w:eastAsia="Georgia" w:hAnsi="Georgia" w:cs="Georgia"/>
      <w:i/>
      <w:color w:val="666666"/>
      <w:sz w:val="48"/>
      <w:szCs w:val="48"/>
      <w:lang w:val="en" w:eastAsia="en-ID"/>
    </w:rPr>
  </w:style>
  <w:style w:type="character" w:customStyle="1" w:styleId="SubtitleChar">
    <w:name w:val="Subtitle Char"/>
    <w:basedOn w:val="DefaultParagraphFont"/>
    <w:link w:val="Subtitle"/>
    <w:uiPriority w:val="11"/>
    <w:rsid w:val="00555BEA"/>
    <w:rPr>
      <w:rFonts w:ascii="Georgia" w:eastAsia="Georgia" w:hAnsi="Georgia" w:cs="Georgia"/>
      <w:i/>
      <w:color w:val="666666"/>
      <w:sz w:val="48"/>
      <w:szCs w:val="48"/>
      <w:lang w:val="en" w:eastAsia="en-ID"/>
    </w:rPr>
  </w:style>
  <w:style w:type="table" w:styleId="PlainTable3">
    <w:name w:val="Plain Table 3"/>
    <w:basedOn w:val="TableNormal"/>
    <w:uiPriority w:val="43"/>
    <w:rsid w:val="00555BEA"/>
    <w:rPr>
      <w:rFonts w:cs="Calibri"/>
      <w:sz w:val="22"/>
      <w:szCs w:val="22"/>
      <w:lang w:val="en" w:eastAsia="en-ID"/>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55BEA"/>
    <w:rPr>
      <w:rFonts w:cs="Calibri"/>
      <w:sz w:val="22"/>
      <w:szCs w:val="22"/>
      <w:lang w:val="en" w:eastAsia="en-ID"/>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555BEA"/>
    <w:rPr>
      <w:rFonts w:cs="Calibri"/>
      <w:sz w:val="22"/>
      <w:szCs w:val="22"/>
      <w:lang w:val="en"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066974">
      <w:bodyDiv w:val="1"/>
      <w:marLeft w:val="0"/>
      <w:marRight w:val="0"/>
      <w:marTop w:val="0"/>
      <w:marBottom w:val="0"/>
      <w:divBdr>
        <w:top w:val="none" w:sz="0" w:space="0" w:color="auto"/>
        <w:left w:val="none" w:sz="0" w:space="0" w:color="auto"/>
        <w:bottom w:val="none" w:sz="0" w:space="0" w:color="auto"/>
        <w:right w:val="none" w:sz="0" w:space="0" w:color="auto"/>
      </w:divBdr>
    </w:div>
    <w:div w:id="10416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Jurnal%202024\Ju%20ni\fix\zanuba_p17451204011@poltekkes-malang.ac.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328/ciastech.v0i0.33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b.unair.ac.id" TargetMode="External"/><Relationship Id="rId4" Type="http://schemas.openxmlformats.org/officeDocument/2006/relationships/settings" Target="settings.xml"/><Relationship Id="rId9" Type="http://schemas.openxmlformats.org/officeDocument/2006/relationships/hyperlink" Target="https://doi.org/10.22219/sm.Vol20.SMUMM1.3330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u.lipi.go.id/1513404488" TargetMode="External"/><Relationship Id="rId2" Type="http://schemas.openxmlformats.org/officeDocument/2006/relationships/hyperlink" Target="http://issn.pdii.lipi.go.id/issn.cgi?daftar&amp;1180434498&amp;1&amp;&amp;" TargetMode="External"/><Relationship Id="rId1" Type="http://schemas.openxmlformats.org/officeDocument/2006/relationships/image" Target="media/image1.jpeg"/><Relationship Id="rId4" Type="http://schemas.openxmlformats.org/officeDocument/2006/relationships/hyperlink" Target="http://ejournal.umm.ac.id/index.php/sainm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NJ%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C3D4-65F1-44E4-9785-B46A9693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MNJ TEMPLATE.dot</Template>
  <TotalTime>158</TotalTime>
  <Pages>15</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The Correlation of Waist Hip Ratio to Ischemic Stroke Probability</vt:lpstr>
    </vt:vector>
  </TitlesOfParts>
  <Company>Sari</Company>
  <LinksUpToDate>false</LinksUpToDate>
  <CharactersWithSpaces>33768</CharactersWithSpaces>
  <SharedDoc>false</SharedDoc>
  <HLinks>
    <vt:vector size="18" baseType="variant">
      <vt:variant>
        <vt:i4>8060978</vt:i4>
      </vt:variant>
      <vt:variant>
        <vt:i4>6</vt:i4>
      </vt:variant>
      <vt:variant>
        <vt:i4>0</vt:i4>
      </vt:variant>
      <vt:variant>
        <vt:i4>5</vt:i4>
      </vt:variant>
      <vt:variant>
        <vt:lpwstr>http://issn.pdii.lipi.go.id/issn.cgi?daftar&amp;1421450502&amp;1&amp;&amp;</vt:lpwstr>
      </vt:variant>
      <vt:variant>
        <vt:lpwstr/>
      </vt:variant>
      <vt:variant>
        <vt:i4>8060978</vt:i4>
      </vt:variant>
      <vt:variant>
        <vt:i4>3</vt:i4>
      </vt:variant>
      <vt:variant>
        <vt:i4>0</vt:i4>
      </vt:variant>
      <vt:variant>
        <vt:i4>5</vt:i4>
      </vt:variant>
      <vt:variant>
        <vt:lpwstr>http://issn.pdii.lipi.go.id/issn.cgi?daftar&amp;1421450502&amp;1&amp;&amp;</vt:lpwstr>
      </vt:variant>
      <vt:variant>
        <vt:lpwstr/>
      </vt:variant>
      <vt:variant>
        <vt:i4>7471163</vt:i4>
      </vt:variant>
      <vt:variant>
        <vt:i4>0</vt:i4>
      </vt:variant>
      <vt:variant>
        <vt:i4>0</vt:i4>
      </vt:variant>
      <vt:variant>
        <vt:i4>5</vt:i4>
      </vt:variant>
      <vt:variant>
        <vt:lpwstr>http://issn.pdii.lipi.go.id/issn.cgi?daftar&amp;1414728814&amp;1&amp;&amp;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Correlation of Waist Hip Ratio to Ischemic Stroke Probability</dc:title>
  <dc:creator>SISTEM</dc:creator>
  <cp:lastModifiedBy>FARMAKO-FKUMM</cp:lastModifiedBy>
  <cp:revision>5</cp:revision>
  <cp:lastPrinted>2019-04-15T02:38:00Z</cp:lastPrinted>
  <dcterms:created xsi:type="dcterms:W3CDTF">2024-07-15T08:04:00Z</dcterms:created>
  <dcterms:modified xsi:type="dcterms:W3CDTF">2024-07-15T10:18:00Z</dcterms:modified>
</cp:coreProperties>
</file>